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4"/>
        <w:snapToGrid w:val="0"/>
        <w:spacing w:line="700" w:lineRule="exact"/>
        <w:ind w:firstLine="0"/>
        <w:jc w:val="center"/>
        <w:rPr>
          <w:rFonts w:hint="eastAsia" w:ascii="宋体" w:hAnsi="宋体" w:eastAsia="宋体" w:cs="宋体"/>
          <w:b w:val="0"/>
          <w:color w:val="auto"/>
          <w:highlight w:val="none"/>
          <w:lang w:val="en-US"/>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7A45996F">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5B1C3E58">
      <w:pPr>
        <w:pStyle w:val="94"/>
        <w:widowControl w:val="0"/>
        <w:snapToGrid w:val="0"/>
        <w:spacing w:line="480" w:lineRule="auto"/>
        <w:ind w:firstLine="0"/>
        <w:jc w:val="center"/>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浙江省人民医院富阳院区及江北院区病媒生物防制服务项目</w:t>
      </w:r>
      <w:r>
        <w:rPr>
          <w:rFonts w:hint="eastAsia" w:ascii="宋体" w:hAnsi="宋体" w:cs="宋体"/>
          <w:color w:val="auto"/>
          <w:sz w:val="48"/>
          <w:szCs w:val="48"/>
          <w:highlight w:val="none"/>
          <w:lang w:val="en-US" w:eastAsia="zh-CN"/>
        </w:rPr>
        <w:t>（第二次）</w:t>
      </w:r>
    </w:p>
    <w:p w14:paraId="65909C18">
      <w:pPr>
        <w:pStyle w:val="94"/>
        <w:widowControl w:val="0"/>
        <w:snapToGrid w:val="0"/>
        <w:spacing w:line="470" w:lineRule="atLeast"/>
        <w:ind w:firstLine="0"/>
        <w:rPr>
          <w:rFonts w:hint="eastAsia" w:ascii="宋体" w:hAnsi="宋体" w:eastAsia="宋体" w:cs="宋体"/>
          <w:color w:val="auto"/>
          <w:sz w:val="72"/>
          <w:highlight w:val="none"/>
        </w:rPr>
      </w:pPr>
    </w:p>
    <w:p w14:paraId="77C134A9">
      <w:pPr>
        <w:pStyle w:val="94"/>
        <w:widowControl w:val="0"/>
        <w:snapToGrid w:val="0"/>
        <w:spacing w:line="470" w:lineRule="atLeast"/>
        <w:ind w:firstLine="0"/>
        <w:rPr>
          <w:rFonts w:hint="eastAsia" w:ascii="宋体" w:hAnsi="宋体" w:eastAsia="宋体" w:cs="宋体"/>
          <w:color w:val="auto"/>
          <w:sz w:val="72"/>
          <w:highlight w:val="none"/>
        </w:rPr>
      </w:pPr>
    </w:p>
    <w:p w14:paraId="1ADA23F9">
      <w:pPr>
        <w:pStyle w:val="94"/>
        <w:widowControl w:val="0"/>
        <w:snapToGrid w:val="0"/>
        <w:spacing w:line="470" w:lineRule="atLeast"/>
        <w:ind w:firstLine="0"/>
        <w:jc w:val="center"/>
        <w:rPr>
          <w:rFonts w:hint="eastAsia" w:ascii="宋体" w:hAnsi="宋体" w:eastAsia="宋体" w:cs="宋体"/>
          <w:color w:val="auto"/>
          <w:sz w:val="80"/>
          <w:szCs w:val="80"/>
          <w:highlight w:val="none"/>
        </w:rPr>
      </w:pPr>
      <w:r>
        <w:rPr>
          <w:rFonts w:hint="eastAsia" w:ascii="宋体" w:hAnsi="宋体" w:eastAsia="宋体" w:cs="宋体"/>
          <w:color w:val="auto"/>
          <w:sz w:val="80"/>
          <w:szCs w:val="80"/>
          <w:highlight w:val="none"/>
        </w:rPr>
        <w:t>竞争性磋商文件</w:t>
      </w:r>
    </w:p>
    <w:p w14:paraId="3DA2D815">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2B486231">
      <w:pPr>
        <w:spacing w:line="480" w:lineRule="auto"/>
        <w:jc w:val="center"/>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eastAsia="zh-CN"/>
        </w:rPr>
        <w:t>ZRY-FYCG-</w:t>
      </w:r>
      <w:r>
        <w:rPr>
          <w:rFonts w:hint="eastAsia" w:ascii="宋体" w:hAnsi="宋体" w:cs="宋体"/>
          <w:b/>
          <w:bCs/>
          <w:sz w:val="32"/>
          <w:szCs w:val="32"/>
          <w:highlight w:val="none"/>
          <w:lang w:val="en-US" w:eastAsia="zh-CN"/>
        </w:rPr>
        <w:t>30</w:t>
      </w:r>
      <w:r>
        <w:rPr>
          <w:rFonts w:hint="eastAsia" w:ascii="宋体" w:hAnsi="宋体" w:eastAsia="宋体" w:cs="宋体"/>
          <w:b/>
          <w:bCs/>
          <w:sz w:val="32"/>
          <w:szCs w:val="32"/>
          <w:highlight w:val="none"/>
          <w:lang w:eastAsia="zh-CN"/>
        </w:rPr>
        <w:t>-20251</w:t>
      </w:r>
      <w:r>
        <w:rPr>
          <w:rFonts w:hint="eastAsia" w:ascii="宋体" w:hAnsi="宋体" w:cs="宋体"/>
          <w:b/>
          <w:bCs/>
          <w:sz w:val="32"/>
          <w:szCs w:val="32"/>
          <w:highlight w:val="none"/>
          <w:lang w:val="en-US" w:eastAsia="zh-CN"/>
        </w:rPr>
        <w:t>2</w:t>
      </w:r>
    </w:p>
    <w:p w14:paraId="12EBACFF">
      <w:pPr>
        <w:pStyle w:val="94"/>
        <w:widowControl w:val="0"/>
        <w:snapToGrid w:val="0"/>
        <w:spacing w:line="360" w:lineRule="auto"/>
        <w:ind w:firstLine="2400" w:firstLineChars="750"/>
        <w:rPr>
          <w:rFonts w:hint="eastAsia" w:ascii="宋体" w:hAnsi="宋体" w:eastAsia="宋体" w:cs="宋体"/>
          <w:b w:val="0"/>
          <w:color w:val="auto"/>
          <w:sz w:val="32"/>
          <w:highlight w:val="none"/>
          <w:u w:val="single"/>
        </w:rPr>
      </w:pPr>
    </w:p>
    <w:p w14:paraId="3B2C575C">
      <w:pPr>
        <w:pStyle w:val="94"/>
        <w:spacing w:line="700" w:lineRule="exact"/>
        <w:ind w:firstLine="360" w:firstLineChars="100"/>
        <w:rPr>
          <w:rFonts w:hint="eastAsia" w:ascii="宋体" w:hAnsi="宋体" w:eastAsia="宋体" w:cs="宋体"/>
          <w:b w:val="0"/>
          <w:color w:val="auto"/>
          <w:sz w:val="36"/>
          <w:highlight w:val="none"/>
        </w:rPr>
      </w:pPr>
    </w:p>
    <w:p w14:paraId="2F2032E0">
      <w:pPr>
        <w:pStyle w:val="94"/>
        <w:spacing w:line="700" w:lineRule="exact"/>
        <w:ind w:firstLine="360" w:firstLineChars="100"/>
        <w:rPr>
          <w:rFonts w:hint="eastAsia" w:ascii="宋体" w:hAnsi="宋体" w:eastAsia="宋体" w:cs="宋体"/>
          <w:b w:val="0"/>
          <w:color w:val="auto"/>
          <w:sz w:val="36"/>
          <w:highlight w:val="none"/>
        </w:rPr>
      </w:pPr>
    </w:p>
    <w:p w14:paraId="014C75AC">
      <w:pPr>
        <w:pStyle w:val="94"/>
        <w:spacing w:line="700" w:lineRule="exact"/>
        <w:ind w:firstLine="360" w:firstLineChars="100"/>
        <w:rPr>
          <w:rFonts w:hint="eastAsia" w:ascii="宋体" w:hAnsi="宋体" w:eastAsia="宋体" w:cs="宋体"/>
          <w:b w:val="0"/>
          <w:color w:val="auto"/>
          <w:sz w:val="36"/>
          <w:highlight w:val="none"/>
        </w:rPr>
      </w:pPr>
    </w:p>
    <w:p w14:paraId="6D4B0719">
      <w:pPr>
        <w:pStyle w:val="94"/>
        <w:spacing w:line="480" w:lineRule="auto"/>
        <w:ind w:firstLine="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采购人：浙江省人民医院</w:t>
      </w:r>
      <w:r>
        <w:rPr>
          <w:rFonts w:hint="eastAsia" w:ascii="宋体" w:hAnsi="宋体" w:eastAsia="宋体" w:cs="宋体"/>
          <w:color w:val="auto"/>
          <w:sz w:val="32"/>
          <w:szCs w:val="32"/>
          <w:highlight w:val="none"/>
          <w:lang w:val="en-US" w:eastAsia="zh-CN"/>
        </w:rPr>
        <w:t>富阳院区（杭州市富阳区第一人民医院）</w:t>
      </w:r>
    </w:p>
    <w:p w14:paraId="725C2C16">
      <w:pPr>
        <w:pStyle w:val="94"/>
        <w:spacing w:line="48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二〇二五年</w:t>
      </w:r>
      <w:r>
        <w:rPr>
          <w:rFonts w:hint="eastAsia" w:ascii="宋体" w:hAnsi="宋体" w:eastAsia="宋体" w:cs="宋体"/>
          <w:color w:val="auto"/>
          <w:sz w:val="32"/>
          <w:szCs w:val="32"/>
          <w:highlight w:val="none"/>
          <w:lang w:val="en-US" w:eastAsia="zh-CN"/>
        </w:rPr>
        <w:t>十</w:t>
      </w:r>
      <w:r>
        <w:rPr>
          <w:rFonts w:hint="eastAsia" w:ascii="宋体" w:hAnsi="宋体" w:cs="宋体"/>
          <w:color w:val="auto"/>
          <w:sz w:val="32"/>
          <w:szCs w:val="32"/>
          <w:highlight w:val="none"/>
          <w:lang w:val="en-US" w:eastAsia="zh-CN"/>
        </w:rPr>
        <w:t>二</w:t>
      </w:r>
      <w:r>
        <w:rPr>
          <w:rFonts w:hint="eastAsia" w:ascii="宋体" w:hAnsi="宋体" w:eastAsia="宋体" w:cs="宋体"/>
          <w:color w:val="auto"/>
          <w:sz w:val="32"/>
          <w:szCs w:val="32"/>
          <w:highlight w:val="none"/>
        </w:rPr>
        <w:t>月</w:t>
      </w:r>
    </w:p>
    <w:p w14:paraId="551443D9">
      <w:pPr>
        <w:pStyle w:val="94"/>
        <w:spacing w:line="480" w:lineRule="auto"/>
        <w:ind w:firstLine="0"/>
        <w:rPr>
          <w:rFonts w:hint="eastAsia" w:ascii="宋体" w:hAnsi="宋体" w:eastAsia="宋体" w:cs="宋体"/>
          <w:color w:val="auto"/>
          <w:sz w:val="36"/>
          <w:highlight w:val="none"/>
        </w:rPr>
      </w:pPr>
    </w:p>
    <w:p w14:paraId="057BBF6A">
      <w:pPr>
        <w:pStyle w:val="94"/>
        <w:widowControl w:val="0"/>
        <w:snapToGrid w:val="0"/>
        <w:spacing w:line="442" w:lineRule="atLeast"/>
        <w:ind w:right="-176" w:rightChars="-84" w:firstLine="0"/>
        <w:jc w:val="center"/>
        <w:rPr>
          <w:rFonts w:hint="eastAsia" w:ascii="宋体" w:hAnsi="宋体" w:eastAsia="宋体" w:cs="宋体"/>
          <w:color w:val="auto"/>
          <w:sz w:val="32"/>
          <w:highlight w:val="none"/>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4"/>
        <w:rPr>
          <w:rStyle w:val="65"/>
          <w:rFonts w:hint="eastAsia" w:ascii="宋体" w:hAnsi="宋体" w:eastAsia="宋体" w:cs="宋体"/>
          <w:b w:val="0"/>
          <w:sz w:val="28"/>
          <w:highlight w:val="none"/>
        </w:rPr>
      </w:pPr>
      <w:bookmarkStart w:id="0" w:name="_Toc118516209"/>
      <w:bookmarkStart w:id="1" w:name="_Toc472544470"/>
      <w:bookmarkStart w:id="2" w:name="_Toc171394907"/>
      <w:bookmarkStart w:id="3" w:name="_Hlk90626799"/>
      <w:r>
        <w:rPr>
          <w:rFonts w:hint="eastAsia" w:ascii="宋体" w:hAnsi="宋体" w:eastAsia="宋体" w:cs="宋体"/>
          <w:highlight w:val="none"/>
        </w:rPr>
        <w:t>第一</w:t>
      </w:r>
      <w:bookmarkEnd w:id="0"/>
      <w:r>
        <w:rPr>
          <w:rFonts w:hint="eastAsia" w:ascii="宋体" w:hAnsi="宋体" w:eastAsia="宋体" w:cs="宋体"/>
          <w:highlight w:val="none"/>
        </w:rPr>
        <w:t>章 竞争性磋商公告</w:t>
      </w:r>
      <w:bookmarkEnd w:id="1"/>
      <w:bookmarkEnd w:id="2"/>
      <w:r>
        <w:rPr>
          <w:rFonts w:hint="eastAsia" w:ascii="宋体" w:hAnsi="宋体" w:eastAsia="宋体" w:cs="宋体"/>
          <w:highlight w:val="none"/>
        </w:rPr>
        <w:t>（非政府采购项目）</w:t>
      </w:r>
    </w:p>
    <w:p w14:paraId="4C188649">
      <w:pPr>
        <w:widowControl/>
        <w:spacing w:line="360" w:lineRule="auto"/>
        <w:ind w:firstLine="480" w:firstLineChars="200"/>
        <w:rPr>
          <w:rFonts w:hint="eastAsia" w:ascii="宋体" w:hAnsi="宋体" w:eastAsia="宋体" w:cs="宋体"/>
          <w:sz w:val="24"/>
          <w:highlight w:val="none"/>
          <w:shd w:val="clear" w:color="auto" w:fill="FFFFFF"/>
          <w:lang w:bidi="ar"/>
        </w:rPr>
      </w:pPr>
      <w:bookmarkStart w:id="4" w:name="_Hlk79076498"/>
      <w:bookmarkStart w:id="5" w:name="_Toc171394913"/>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杭州市富阳区第一人民医院</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拟对浙江省人民医院富阳院区及江北院区病媒生物防制</w:t>
      </w:r>
      <w:r>
        <w:rPr>
          <w:rFonts w:hint="eastAsia" w:ascii="宋体" w:hAnsi="宋体" w:cs="宋体"/>
          <w:sz w:val="24"/>
          <w:highlight w:val="none"/>
          <w:shd w:val="clear" w:color="auto" w:fill="FFFFFF"/>
          <w:lang w:val="en-US" w:eastAsia="zh-CN" w:bidi="ar"/>
        </w:rPr>
        <w:t>服务</w:t>
      </w:r>
      <w:r>
        <w:rPr>
          <w:rFonts w:hint="eastAsia" w:ascii="宋体" w:hAnsi="宋体" w:eastAsia="宋体" w:cs="宋体"/>
          <w:sz w:val="24"/>
          <w:highlight w:val="none"/>
          <w:shd w:val="clear" w:color="auto" w:fill="FFFFFF"/>
          <w:lang w:val="en-US" w:eastAsia="zh-CN" w:bidi="ar"/>
        </w:rPr>
        <w:t>项目</w:t>
      </w:r>
      <w:r>
        <w:rPr>
          <w:rFonts w:hint="eastAsia" w:ascii="宋体" w:hAnsi="宋体" w:eastAsia="宋体" w:cs="宋体"/>
          <w:sz w:val="24"/>
          <w:highlight w:val="none"/>
          <w:shd w:val="clear" w:color="auto" w:fill="FFFFFF"/>
          <w:lang w:bidi="ar"/>
        </w:rPr>
        <w:t>进行竞争性磋商采购，邀请合格供应商参加磋商。</w:t>
      </w:r>
    </w:p>
    <w:p w14:paraId="11799A6C">
      <w:pPr>
        <w:widowControl/>
        <w:spacing w:line="360" w:lineRule="auto"/>
        <w:jc w:val="left"/>
        <w:rPr>
          <w:rFonts w:hint="eastAsia" w:ascii="宋体" w:hAnsi="宋体" w:eastAsia="宋体" w:cs="宋体"/>
          <w:sz w:val="24"/>
          <w:highlight w:val="none"/>
          <w:shd w:val="clear" w:color="auto" w:fill="FFFFFF"/>
          <w:lang w:bidi="ar"/>
        </w:rPr>
      </w:pPr>
      <w:r>
        <w:rPr>
          <w:rFonts w:hint="eastAsia" w:ascii="宋体" w:hAnsi="宋体" w:eastAsia="宋体" w:cs="宋体"/>
          <w:b/>
          <w:sz w:val="24"/>
          <w:highlight w:val="none"/>
          <w:shd w:val="clear" w:color="auto" w:fill="FFFFFF"/>
          <w:lang w:bidi="ar"/>
        </w:rPr>
        <w:t>一、项目名称：</w:t>
      </w: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及江北院区病媒生物防制项目</w:t>
      </w:r>
      <w:r>
        <w:rPr>
          <w:rFonts w:hint="eastAsia" w:ascii="宋体" w:hAnsi="宋体" w:cs="宋体"/>
          <w:sz w:val="24"/>
          <w:highlight w:val="none"/>
          <w:shd w:val="clear" w:color="auto" w:fill="FFFFFF"/>
          <w:lang w:val="en-US" w:eastAsia="zh-CN" w:bidi="ar"/>
        </w:rPr>
        <w:t>（第二次）</w:t>
      </w:r>
    </w:p>
    <w:p w14:paraId="3B796603">
      <w:pPr>
        <w:widowControl/>
        <w:spacing w:line="360" w:lineRule="auto"/>
        <w:jc w:val="left"/>
        <w:rPr>
          <w:rFonts w:hint="eastAsia" w:ascii="宋体" w:hAnsi="宋体" w:eastAsia="宋体" w:cs="宋体"/>
          <w:highlight w:val="none"/>
          <w:lang w:val="en-US" w:eastAsia="zh-CN"/>
        </w:rPr>
      </w:pPr>
      <w:r>
        <w:rPr>
          <w:rFonts w:hint="eastAsia" w:ascii="宋体" w:hAnsi="宋体" w:eastAsia="宋体" w:cs="宋体"/>
          <w:b/>
          <w:sz w:val="24"/>
          <w:highlight w:val="none"/>
          <w:shd w:val="clear" w:color="auto" w:fill="FFFFFF"/>
          <w:lang w:bidi="ar"/>
        </w:rPr>
        <w:t>二、项目编号：ZRY-FYCG-</w:t>
      </w:r>
      <w:r>
        <w:rPr>
          <w:rFonts w:hint="eastAsia" w:ascii="宋体" w:hAnsi="宋体" w:cs="宋体"/>
          <w:b/>
          <w:sz w:val="24"/>
          <w:highlight w:val="none"/>
          <w:shd w:val="clear" w:color="auto" w:fill="FFFFFF"/>
          <w:lang w:val="en-US" w:eastAsia="zh-CN" w:bidi="ar"/>
        </w:rPr>
        <w:t>30</w:t>
      </w:r>
      <w:r>
        <w:rPr>
          <w:rFonts w:hint="eastAsia" w:ascii="宋体" w:hAnsi="宋体" w:eastAsia="宋体" w:cs="宋体"/>
          <w:b/>
          <w:sz w:val="24"/>
          <w:highlight w:val="none"/>
          <w:shd w:val="clear" w:color="auto" w:fill="FFFFFF"/>
          <w:lang w:bidi="ar"/>
        </w:rPr>
        <w:t>-20251</w:t>
      </w:r>
      <w:r>
        <w:rPr>
          <w:rFonts w:hint="eastAsia" w:ascii="宋体" w:hAnsi="宋体" w:cs="宋体"/>
          <w:b/>
          <w:sz w:val="24"/>
          <w:highlight w:val="none"/>
          <w:shd w:val="clear" w:color="auto" w:fill="FFFFFF"/>
          <w:lang w:val="en-US" w:eastAsia="zh-CN" w:bidi="ar"/>
        </w:rPr>
        <w:t>2</w:t>
      </w:r>
    </w:p>
    <w:p w14:paraId="65E62B41">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三、采购组织类型：</w:t>
      </w:r>
      <w:r>
        <w:rPr>
          <w:rFonts w:hint="eastAsia" w:ascii="宋体" w:hAnsi="宋体" w:eastAsia="宋体" w:cs="宋体"/>
          <w:sz w:val="24"/>
          <w:highlight w:val="none"/>
          <w:shd w:val="clear" w:color="auto" w:fill="FFFFFF"/>
          <w:lang w:bidi="ar"/>
        </w:rPr>
        <w:t>自行组织采购</w:t>
      </w:r>
    </w:p>
    <w:p w14:paraId="5A310E35">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四、采购方式：</w:t>
      </w:r>
      <w:r>
        <w:rPr>
          <w:rFonts w:hint="eastAsia" w:ascii="宋体" w:hAnsi="宋体" w:eastAsia="宋体" w:cs="宋体"/>
          <w:sz w:val="24"/>
          <w:highlight w:val="none"/>
          <w:shd w:val="clear" w:color="auto" w:fill="FFFFFF"/>
          <w:lang w:bidi="ar"/>
        </w:rPr>
        <w:t>竞争性磋商</w:t>
      </w:r>
    </w:p>
    <w:p w14:paraId="106CDE9D">
      <w:pPr>
        <w:widowControl/>
        <w:spacing w:line="360" w:lineRule="auto"/>
        <w:jc w:val="left"/>
        <w:rPr>
          <w:rFonts w:hint="eastAsia" w:ascii="宋体" w:hAnsi="宋体" w:eastAsia="宋体" w:cs="宋体"/>
          <w:b/>
          <w:sz w:val="24"/>
          <w:highlight w:val="none"/>
          <w:shd w:val="clear" w:color="auto" w:fill="FFFFFF"/>
          <w:lang w:bidi="ar"/>
        </w:rPr>
      </w:pPr>
      <w:r>
        <w:rPr>
          <w:rFonts w:hint="eastAsia" w:ascii="宋体" w:hAnsi="宋体" w:eastAsia="宋体" w:cs="宋体"/>
          <w:b/>
          <w:sz w:val="24"/>
          <w:highlight w:val="none"/>
          <w:shd w:val="clear" w:color="auto" w:fill="FFFFFF"/>
          <w:lang w:bidi="ar"/>
        </w:rPr>
        <w:t>五、项目概况及数量：</w:t>
      </w:r>
    </w:p>
    <w:tbl>
      <w:tblPr>
        <w:tblStyle w:val="33"/>
        <w:tblW w:w="95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865"/>
        <w:gridCol w:w="1605"/>
        <w:gridCol w:w="1425"/>
        <w:gridCol w:w="1847"/>
      </w:tblGrid>
      <w:tr w14:paraId="192295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1396D17E">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865" w:type="dxa"/>
            <w:vAlign w:val="center"/>
          </w:tcPr>
          <w:p w14:paraId="0F3EE562">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标项内容</w:t>
            </w:r>
          </w:p>
        </w:tc>
        <w:tc>
          <w:tcPr>
            <w:tcW w:w="1605" w:type="dxa"/>
            <w:vAlign w:val="center"/>
          </w:tcPr>
          <w:p w14:paraId="7621E093">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w:t>
            </w:r>
          </w:p>
        </w:tc>
        <w:tc>
          <w:tcPr>
            <w:tcW w:w="1425" w:type="dxa"/>
            <w:vAlign w:val="center"/>
          </w:tcPr>
          <w:p w14:paraId="4BFA39AE">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1847" w:type="dxa"/>
            <w:vAlign w:val="center"/>
          </w:tcPr>
          <w:p w14:paraId="6A3E4926">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tc>
      </w:tr>
      <w:tr w14:paraId="684734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101CEF7A">
            <w:pPr>
              <w:widowControl/>
              <w:spacing w:line="360" w:lineRule="auto"/>
              <w:ind w:left="60" w:right="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865" w:type="dxa"/>
            <w:vAlign w:val="center"/>
          </w:tcPr>
          <w:p w14:paraId="46F6A791">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及江北院区病媒生物防制</w:t>
            </w:r>
            <w:r>
              <w:rPr>
                <w:rFonts w:hint="eastAsia" w:ascii="宋体" w:hAnsi="宋体" w:cs="宋体"/>
                <w:sz w:val="24"/>
                <w:highlight w:val="none"/>
                <w:shd w:val="clear" w:color="auto" w:fill="FFFFFF"/>
                <w:lang w:val="en-US" w:eastAsia="zh-CN" w:bidi="ar"/>
              </w:rPr>
              <w:t>服务</w:t>
            </w:r>
            <w:r>
              <w:rPr>
                <w:rFonts w:hint="eastAsia" w:ascii="宋体" w:hAnsi="宋体" w:eastAsia="宋体" w:cs="宋体"/>
                <w:sz w:val="24"/>
                <w:highlight w:val="none"/>
                <w:shd w:val="clear" w:color="auto" w:fill="FFFFFF"/>
                <w:lang w:val="en-US" w:eastAsia="zh-CN" w:bidi="ar"/>
              </w:rPr>
              <w:t>项目</w:t>
            </w:r>
            <w:r>
              <w:rPr>
                <w:rFonts w:hint="eastAsia" w:ascii="宋体" w:hAnsi="宋体" w:cs="宋体"/>
                <w:sz w:val="24"/>
                <w:highlight w:val="none"/>
                <w:shd w:val="clear" w:color="auto" w:fill="FFFFFF"/>
                <w:lang w:val="en-US" w:eastAsia="zh-CN" w:bidi="ar"/>
              </w:rPr>
              <w:t>（第二次）</w:t>
            </w:r>
          </w:p>
        </w:tc>
        <w:tc>
          <w:tcPr>
            <w:tcW w:w="1605" w:type="dxa"/>
            <w:shd w:val="clear" w:color="auto" w:fill="auto"/>
            <w:vAlign w:val="center"/>
          </w:tcPr>
          <w:p w14:paraId="09A9D0A6">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三年</w:t>
            </w:r>
          </w:p>
        </w:tc>
        <w:tc>
          <w:tcPr>
            <w:tcW w:w="1425" w:type="dxa"/>
            <w:vAlign w:val="center"/>
          </w:tcPr>
          <w:p w14:paraId="0EF0CE6F">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21万元</w:t>
            </w:r>
          </w:p>
        </w:tc>
        <w:tc>
          <w:tcPr>
            <w:tcW w:w="1847" w:type="dxa"/>
            <w:vAlign w:val="center"/>
          </w:tcPr>
          <w:p w14:paraId="29E4ADD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详见采购需求</w:t>
            </w:r>
          </w:p>
        </w:tc>
      </w:tr>
    </w:tbl>
    <w:p w14:paraId="7824FEE0">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六、供应商资格条件要求：</w:t>
      </w:r>
    </w:p>
    <w:p w14:paraId="01B76F4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3F176A5F">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236E2AFB">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28F408E9">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132959F8">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（5）截止投标之日前三年内，在经营活动中没有重大违法记录；</w:t>
      </w:r>
    </w:p>
    <w:p w14:paraId="42E5C3A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32C3F90E">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（7）本项目不接受联合体参</w:t>
      </w:r>
      <w:r>
        <w:rPr>
          <w:rFonts w:hint="eastAsia" w:ascii="宋体" w:hAnsi="宋体" w:cs="宋体"/>
          <w:sz w:val="24"/>
          <w:szCs w:val="24"/>
          <w:highlight w:val="none"/>
          <w:lang w:val="en-US" w:eastAsia="zh-CN"/>
        </w:rPr>
        <w:t>与</w:t>
      </w:r>
      <w:r>
        <w:rPr>
          <w:rFonts w:hint="eastAsia" w:ascii="宋体" w:hAnsi="宋体" w:eastAsia="宋体" w:cs="宋体"/>
          <w:sz w:val="24"/>
          <w:szCs w:val="24"/>
          <w:highlight w:val="none"/>
        </w:rPr>
        <w:t>磋商；</w:t>
      </w:r>
    </w:p>
    <w:p w14:paraId="1602711D">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（8）特定资格条件：</w:t>
      </w:r>
      <w:r>
        <w:rPr>
          <w:rFonts w:hint="eastAsia" w:ascii="宋体" w:hAnsi="宋体" w:eastAsia="宋体" w:cs="宋体"/>
          <w:sz w:val="24"/>
          <w:szCs w:val="24"/>
          <w:highlight w:val="none"/>
          <w:lang w:val="en-US" w:eastAsia="zh-CN"/>
        </w:rPr>
        <w:t>需具备</w:t>
      </w:r>
      <w:r>
        <w:rPr>
          <w:rFonts w:hint="eastAsia" w:ascii="宋体" w:hAnsi="宋体" w:eastAsia="宋体" w:cs="宋体"/>
          <w:sz w:val="24"/>
          <w:szCs w:val="24"/>
          <w:highlight w:val="none"/>
        </w:rPr>
        <w:t>病媒生物防制服务</w:t>
      </w:r>
      <w:r>
        <w:rPr>
          <w:rFonts w:hint="eastAsia" w:ascii="宋体" w:hAnsi="宋体" w:eastAsia="宋体" w:cs="宋体"/>
          <w:sz w:val="24"/>
          <w:szCs w:val="24"/>
          <w:highlight w:val="none"/>
          <w:lang w:val="en-US" w:eastAsia="zh-CN"/>
        </w:rPr>
        <w:t>等相关经营资质</w:t>
      </w:r>
      <w:r>
        <w:rPr>
          <w:rFonts w:hint="eastAsia" w:ascii="宋体" w:hAnsi="宋体" w:eastAsia="宋体" w:cs="宋体"/>
          <w:sz w:val="24"/>
          <w:szCs w:val="24"/>
          <w:highlight w:val="none"/>
        </w:rPr>
        <w:t>。</w:t>
      </w:r>
    </w:p>
    <w:p w14:paraId="341AD208">
      <w:pPr>
        <w:widowControl/>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七、获取采购文件：</w:t>
      </w:r>
    </w:p>
    <w:p w14:paraId="1B9B2B9B">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（1）获取时间：公告发布之日起至2025年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:00止</w:t>
      </w:r>
    </w:p>
    <w:p w14:paraId="773F6E9F">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（2）获取方式：采购文件（附件1）从公告下方自行下载获取，并请将报名登记表（附件2）、扫描件、营业执照副本扫描件、法人授权委托书扫描件、被授权人身份证扫描件发送至zjsrmyyfyyq_cgzx@163.com。</w:t>
      </w:r>
    </w:p>
    <w:p w14:paraId="00A5DC08">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（3）采购机构将拒绝接受非报名供应商参与磋商。</w:t>
      </w:r>
    </w:p>
    <w:p w14:paraId="0E0B5F08">
      <w:pPr>
        <w:widowControl/>
        <w:snapToGrid w:val="0"/>
        <w:spacing w:line="360" w:lineRule="auto"/>
        <w:rPr>
          <w:rFonts w:hint="eastAsia" w:ascii="宋体" w:hAnsi="宋体" w:eastAsia="宋体" w:cs="宋体"/>
          <w:b/>
          <w:sz w:val="24"/>
          <w:szCs w:val="24"/>
          <w:highlight w:val="none"/>
          <w:shd w:val="clear" w:color="auto" w:fill="FFFFFF"/>
          <w:lang w:bidi="ar"/>
        </w:rPr>
      </w:pPr>
      <w:r>
        <w:rPr>
          <w:rFonts w:hint="eastAsia" w:ascii="宋体" w:hAnsi="宋体" w:eastAsia="宋体" w:cs="宋体"/>
          <w:b/>
          <w:sz w:val="24"/>
          <w:szCs w:val="24"/>
          <w:highlight w:val="none"/>
          <w:shd w:val="clear" w:color="auto" w:fill="FFFFFF"/>
          <w:lang w:bidi="ar"/>
        </w:rPr>
        <w:t>八、响应文件递交时间与地点：</w:t>
      </w:r>
    </w:p>
    <w:p w14:paraId="5C150769">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供应商应于2025年</w:t>
      </w:r>
      <w:r>
        <w:rPr>
          <w:rFonts w:hint="eastAsia" w:ascii="宋体" w:hAnsi="宋体" w:cs="宋体"/>
          <w:sz w:val="24"/>
          <w:szCs w:val="24"/>
          <w:highlight w:val="none"/>
          <w:shd w:val="clear" w:color="auto" w:fill="FFFFFF"/>
          <w:lang w:val="en-US" w:eastAsia="zh-CN" w:bidi="ar"/>
        </w:rPr>
        <w:t>12</w:t>
      </w:r>
      <w:r>
        <w:rPr>
          <w:rFonts w:hint="eastAsia" w:ascii="宋体" w:hAnsi="宋体" w:eastAsia="宋体" w:cs="宋体"/>
          <w:sz w:val="24"/>
          <w:szCs w:val="24"/>
          <w:highlight w:val="none"/>
          <w:shd w:val="clear" w:color="auto" w:fill="FFFFFF"/>
          <w:lang w:bidi="ar"/>
        </w:rPr>
        <w:t>月</w:t>
      </w:r>
      <w:r>
        <w:rPr>
          <w:rFonts w:hint="eastAsia" w:ascii="宋体" w:hAnsi="宋体" w:cs="宋体"/>
          <w:sz w:val="24"/>
          <w:szCs w:val="24"/>
          <w:highlight w:val="none"/>
          <w:shd w:val="clear" w:color="auto" w:fill="FFFFFF"/>
          <w:lang w:val="en-US" w:eastAsia="zh-CN" w:bidi="ar"/>
        </w:rPr>
        <w:t>11</w:t>
      </w:r>
      <w:r>
        <w:rPr>
          <w:rFonts w:hint="eastAsia" w:ascii="宋体" w:hAnsi="宋体" w:eastAsia="宋体" w:cs="宋体"/>
          <w:sz w:val="24"/>
          <w:szCs w:val="24"/>
          <w:highlight w:val="none"/>
          <w:shd w:val="clear" w:color="auto" w:fill="FFFFFF"/>
          <w:lang w:bidi="ar"/>
        </w:rPr>
        <w:t>日</w:t>
      </w:r>
      <w:r>
        <w:rPr>
          <w:rFonts w:hint="eastAsia" w:ascii="宋体" w:hAnsi="宋体" w:cs="宋体"/>
          <w:sz w:val="24"/>
          <w:szCs w:val="24"/>
          <w:highlight w:val="none"/>
          <w:shd w:val="clear" w:color="auto" w:fill="FFFFFF"/>
          <w:lang w:val="en-US" w:eastAsia="zh-CN" w:bidi="ar"/>
        </w:rPr>
        <w:t>下午13</w:t>
      </w:r>
      <w:r>
        <w:rPr>
          <w:rFonts w:hint="eastAsia" w:ascii="宋体" w:hAnsi="宋体" w:eastAsia="宋体" w:cs="宋体"/>
          <w:sz w:val="24"/>
          <w:szCs w:val="24"/>
          <w:highlight w:val="none"/>
          <w:shd w:val="clear" w:color="auto" w:fill="FFFFFF"/>
          <w:lang w:bidi="ar"/>
        </w:rPr>
        <w:t>:</w:t>
      </w:r>
      <w:r>
        <w:rPr>
          <w:rFonts w:hint="eastAsia" w:ascii="宋体" w:hAnsi="宋体" w:cs="宋体"/>
          <w:sz w:val="24"/>
          <w:szCs w:val="24"/>
          <w:highlight w:val="none"/>
          <w:shd w:val="clear" w:color="auto" w:fill="FFFFFF"/>
          <w:lang w:val="en-US" w:eastAsia="zh-CN" w:bidi="ar"/>
        </w:rPr>
        <w:t>30</w:t>
      </w:r>
      <w:r>
        <w:rPr>
          <w:rFonts w:hint="eastAsia" w:ascii="宋体" w:hAnsi="宋体" w:eastAsia="宋体" w:cs="宋体"/>
          <w:sz w:val="24"/>
          <w:szCs w:val="24"/>
          <w:highlight w:val="none"/>
          <w:shd w:val="clear" w:color="auto" w:fill="FFFFFF"/>
          <w:lang w:bidi="ar"/>
        </w:rPr>
        <w:t>至</w:t>
      </w:r>
      <w:r>
        <w:rPr>
          <w:rFonts w:hint="eastAsia" w:ascii="宋体" w:hAnsi="宋体" w:cs="宋体"/>
          <w:sz w:val="24"/>
          <w:szCs w:val="24"/>
          <w:highlight w:val="none"/>
          <w:shd w:val="clear" w:color="auto" w:fill="FFFFFF"/>
          <w:lang w:val="en-US" w:eastAsia="zh-CN" w:bidi="ar"/>
        </w:rPr>
        <w:t>14</w:t>
      </w:r>
      <w:bookmarkStart w:id="43" w:name="_GoBack"/>
      <w:bookmarkEnd w:id="43"/>
      <w:r>
        <w:rPr>
          <w:rFonts w:hint="eastAsia" w:ascii="宋体" w:hAnsi="宋体" w:eastAsia="宋体" w:cs="宋体"/>
          <w:sz w:val="24"/>
          <w:szCs w:val="24"/>
          <w:highlight w:val="none"/>
          <w:shd w:val="clear" w:color="auto" w:fill="FFFFFF"/>
          <w:lang w:bidi="ar"/>
        </w:rPr>
        <w:t>:</w:t>
      </w:r>
      <w:r>
        <w:rPr>
          <w:rFonts w:hint="eastAsia" w:ascii="宋体" w:hAnsi="宋体" w:cs="宋体"/>
          <w:sz w:val="24"/>
          <w:szCs w:val="24"/>
          <w:highlight w:val="none"/>
          <w:shd w:val="clear" w:color="auto" w:fill="FFFFFF"/>
          <w:lang w:val="en-US" w:eastAsia="zh-CN" w:bidi="ar"/>
        </w:rPr>
        <w:t>0</w:t>
      </w:r>
      <w:r>
        <w:rPr>
          <w:rFonts w:hint="eastAsia" w:ascii="宋体" w:hAnsi="宋体" w:eastAsia="宋体" w:cs="宋体"/>
          <w:sz w:val="24"/>
          <w:szCs w:val="24"/>
          <w:highlight w:val="none"/>
          <w:shd w:val="clear" w:color="auto" w:fill="FFFFFF"/>
          <w:lang w:bidi="ar"/>
        </w:rPr>
        <w:t>0整将响应文件密封送交到浙江省人民医院</w:t>
      </w:r>
      <w:r>
        <w:rPr>
          <w:rFonts w:hint="eastAsia" w:ascii="宋体" w:hAnsi="宋体" w:eastAsia="宋体" w:cs="宋体"/>
          <w:sz w:val="24"/>
          <w:szCs w:val="24"/>
          <w:highlight w:val="none"/>
          <w:shd w:val="clear" w:color="auto" w:fill="FFFFFF"/>
          <w:lang w:val="en-US" w:eastAsia="zh-CN" w:bidi="ar"/>
        </w:rPr>
        <w:t>富阳院区9</w:t>
      </w:r>
      <w:r>
        <w:rPr>
          <w:rFonts w:hint="eastAsia" w:ascii="宋体" w:hAnsi="宋体" w:eastAsia="宋体" w:cs="宋体"/>
          <w:sz w:val="24"/>
          <w:szCs w:val="24"/>
          <w:highlight w:val="none"/>
          <w:shd w:val="clear" w:color="auto" w:fill="FFFFFF"/>
          <w:lang w:bidi="ar"/>
        </w:rPr>
        <w:t>号楼</w:t>
      </w: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bidi="ar"/>
        </w:rPr>
        <w:t>楼</w:t>
      </w:r>
      <w:r>
        <w:rPr>
          <w:rFonts w:hint="eastAsia" w:ascii="宋体" w:hAnsi="宋体" w:eastAsia="宋体" w:cs="宋体"/>
          <w:sz w:val="24"/>
          <w:szCs w:val="24"/>
          <w:highlight w:val="none"/>
          <w:shd w:val="clear" w:color="auto" w:fill="FFFFFF"/>
          <w:lang w:val="en-US" w:eastAsia="zh-CN" w:bidi="ar"/>
        </w:rPr>
        <w:t>531会议室</w:t>
      </w:r>
      <w:r>
        <w:rPr>
          <w:rFonts w:hint="eastAsia" w:ascii="宋体" w:hAnsi="宋体" w:eastAsia="宋体" w:cs="宋体"/>
          <w:sz w:val="24"/>
          <w:szCs w:val="24"/>
          <w:highlight w:val="none"/>
          <w:shd w:val="clear" w:color="auto" w:fill="FFFFFF"/>
          <w:lang w:bidi="ar"/>
        </w:rPr>
        <w:t>。</w:t>
      </w:r>
    </w:p>
    <w:p w14:paraId="25C6A901">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注：逾期送达或未密封将予以拒收（或作无效响应文件处理）。</w:t>
      </w:r>
    </w:p>
    <w:p w14:paraId="4EBF80A8">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九、联系方式：</w:t>
      </w:r>
    </w:p>
    <w:p w14:paraId="7C4A1AF0">
      <w:pPr>
        <w:widowControl/>
        <w:spacing w:line="360" w:lineRule="auto"/>
        <w:ind w:firstLine="480" w:firstLineChars="200"/>
        <w:jc w:val="left"/>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采购人名称：浙江省人民医院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48288ECD">
      <w:pPr>
        <w:widowControl/>
        <w:spacing w:line="360" w:lineRule="auto"/>
        <w:ind w:firstLine="480" w:firstLineChars="200"/>
        <w:jc w:val="left"/>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r>
        <w:rPr>
          <w:rFonts w:hint="eastAsia" w:ascii="宋体" w:hAnsi="宋体" w:eastAsia="宋体" w:cs="宋体"/>
          <w:sz w:val="24"/>
          <w:szCs w:val="24"/>
          <w:highlight w:val="none"/>
          <w:shd w:val="clear" w:color="auto" w:fill="FFFFFF"/>
          <w:lang w:bidi="ar"/>
        </w:rPr>
        <w:t xml:space="preserve">     </w:t>
      </w:r>
    </w:p>
    <w:p w14:paraId="652BAF6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shd w:val="clear" w:color="auto" w:fill="FFFFFF"/>
          <w:lang w:bidi="ar"/>
        </w:rPr>
        <w:t>地址：</w:t>
      </w:r>
      <w:r>
        <w:rPr>
          <w:rFonts w:hint="eastAsia" w:ascii="宋体" w:hAnsi="宋体" w:eastAsia="宋体" w:cs="宋体"/>
          <w:sz w:val="24"/>
          <w:szCs w:val="24"/>
          <w:highlight w:val="none"/>
          <w:shd w:val="clear" w:color="auto" w:fill="FFFFFF"/>
          <w:lang w:val="en-US" w:eastAsia="zh-CN" w:bidi="ar"/>
        </w:rPr>
        <w:t>杭州市富阳区春江街道竹简路300号</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sz w:val="24"/>
          <w:szCs w:val="24"/>
          <w:highlight w:val="none"/>
          <w:shd w:val="clear" w:color="auto" w:fill="FFFFFF"/>
          <w:lang w:bidi="ar"/>
        </w:rPr>
        <w:t>采购中心</w:t>
      </w:r>
    </w:p>
    <w:p w14:paraId="323E3C12">
      <w:pPr>
        <w:widowControl/>
        <w:spacing w:line="360" w:lineRule="auto"/>
        <w:ind w:firstLine="420" w:firstLineChars="200"/>
        <w:rPr>
          <w:rFonts w:hint="eastAsia" w:ascii="宋体" w:hAnsi="宋体" w:eastAsia="宋体" w:cs="宋体"/>
          <w:highlight w:val="none"/>
        </w:rPr>
      </w:pPr>
    </w:p>
    <w:p w14:paraId="04A77647">
      <w:pPr>
        <w:widowControl/>
        <w:spacing w:line="360" w:lineRule="auto"/>
        <w:ind w:firstLine="420" w:firstLineChars="200"/>
        <w:rPr>
          <w:rFonts w:hint="eastAsia" w:ascii="宋体" w:hAnsi="宋体" w:eastAsia="宋体" w:cs="宋体"/>
          <w:highlight w:val="none"/>
        </w:rPr>
      </w:pPr>
    </w:p>
    <w:p w14:paraId="7ED62490">
      <w:pPr>
        <w:widowControl/>
        <w:spacing w:line="360" w:lineRule="auto"/>
        <w:ind w:right="720"/>
        <w:jc w:val="center"/>
        <w:rPr>
          <w:rFonts w:hint="eastAsia" w:ascii="宋体" w:hAnsi="宋体" w:eastAsia="宋体" w:cs="宋体"/>
          <w:sz w:val="24"/>
          <w:szCs w:val="24"/>
          <w:highlight w:val="none"/>
          <w:shd w:val="clear" w:color="auto" w:fill="FFFFFF"/>
          <w:lang w:bidi="ar"/>
        </w:rPr>
      </w:pPr>
    </w:p>
    <w:p w14:paraId="62D88DA2">
      <w:pPr>
        <w:pStyle w:val="31"/>
        <w:rPr>
          <w:rFonts w:hint="eastAsia" w:ascii="宋体" w:hAnsi="宋体" w:eastAsia="宋体" w:cs="宋体"/>
          <w:color w:val="auto"/>
          <w:highlight w:val="none"/>
        </w:rPr>
      </w:pPr>
    </w:p>
    <w:bookmarkEnd w:id="4"/>
    <w:p w14:paraId="28BE7950">
      <w:pPr>
        <w:pStyle w:val="17"/>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sz w:val="21"/>
          <w:szCs w:val="21"/>
          <w:highlight w:val="none"/>
        </w:rPr>
        <w:br w:type="page"/>
      </w:r>
      <w:bookmarkEnd w:id="3"/>
      <w:r>
        <w:rPr>
          <w:rFonts w:hint="eastAsia" w:ascii="宋体" w:hAnsi="宋体" w:eastAsia="宋体" w:cs="宋体"/>
          <w:b/>
          <w:sz w:val="28"/>
          <w:szCs w:val="28"/>
          <w:highlight w:val="none"/>
        </w:rPr>
        <w:t>前附表</w:t>
      </w:r>
      <w:bookmarkEnd w:id="5"/>
      <w:bookmarkStart w:id="6" w:name="_Toc183786414"/>
      <w:bookmarkStart w:id="7" w:name="_Toc171394914"/>
      <w:bookmarkStart w:id="8" w:name="_Toc118516210"/>
    </w:p>
    <w:tbl>
      <w:tblPr>
        <w:tblStyle w:val="3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磋商须知条款</w:t>
            </w:r>
          </w:p>
        </w:tc>
        <w:tc>
          <w:tcPr>
            <w:tcW w:w="2167" w:type="dxa"/>
            <w:vAlign w:val="center"/>
          </w:tcPr>
          <w:p w14:paraId="03A233B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5540" w:type="dxa"/>
            <w:vAlign w:val="center"/>
          </w:tcPr>
          <w:p w14:paraId="00A679A1">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7" w:type="dxa"/>
            <w:vAlign w:val="center"/>
          </w:tcPr>
          <w:p w14:paraId="58736736">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5540" w:type="dxa"/>
            <w:vAlign w:val="center"/>
          </w:tcPr>
          <w:p w14:paraId="5E4B719F">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0F52D19B">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p>
          <w:p w14:paraId="773FEFE9">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167" w:type="dxa"/>
            <w:vAlign w:val="center"/>
          </w:tcPr>
          <w:p w14:paraId="6F14E2C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5540" w:type="dxa"/>
            <w:vAlign w:val="center"/>
          </w:tcPr>
          <w:p w14:paraId="0F4CE9BA">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成交供应商的响应文件有效期至完成本磋商文件规定的项目内容和时限期满后止。</w:t>
            </w:r>
          </w:p>
          <w:p w14:paraId="14AF3ABF">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167" w:type="dxa"/>
            <w:vAlign w:val="center"/>
          </w:tcPr>
          <w:p w14:paraId="5A01FB22">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响应文件装订要求</w:t>
            </w:r>
          </w:p>
        </w:tc>
        <w:tc>
          <w:tcPr>
            <w:tcW w:w="5540" w:type="dxa"/>
            <w:vAlign w:val="center"/>
          </w:tcPr>
          <w:p w14:paraId="190C2DC8">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167" w:type="dxa"/>
            <w:vAlign w:val="center"/>
          </w:tcPr>
          <w:p w14:paraId="1ECFCBA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响应文件包装要求</w:t>
            </w:r>
          </w:p>
        </w:tc>
        <w:tc>
          <w:tcPr>
            <w:tcW w:w="5540" w:type="dxa"/>
            <w:vAlign w:val="center"/>
          </w:tcPr>
          <w:p w14:paraId="24C38BB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报价文件（含正本一份与副本两份）、技术资信文件（含正本一份与副本两份）密封包装在一个或多个密封袋（箱）内。</w:t>
            </w:r>
          </w:p>
          <w:p w14:paraId="7CD2AFF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yellow"/>
              </w:rPr>
              <w:t>响应文件电子版（</w:t>
            </w:r>
            <w:r>
              <w:rPr>
                <w:rFonts w:hint="eastAsia" w:ascii="宋体" w:hAnsi="宋体" w:eastAsia="宋体" w:cs="宋体"/>
                <w:sz w:val="24"/>
                <w:highlight w:val="yellow"/>
                <w:u w:val="single"/>
              </w:rPr>
              <w:t>签字盖章后的响应文件扫描件</w:t>
            </w:r>
            <w:r>
              <w:rPr>
                <w:rFonts w:hint="eastAsia" w:ascii="宋体" w:hAnsi="宋体" w:eastAsia="宋体" w:cs="宋体"/>
                <w:sz w:val="24"/>
                <w:highlight w:val="yellow"/>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167" w:type="dxa"/>
            <w:vAlign w:val="center"/>
          </w:tcPr>
          <w:p w14:paraId="4328CF7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响应文件份数</w:t>
            </w:r>
          </w:p>
        </w:tc>
        <w:tc>
          <w:tcPr>
            <w:tcW w:w="5540" w:type="dxa"/>
            <w:vAlign w:val="center"/>
          </w:tcPr>
          <w:p w14:paraId="0FABFF25">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167" w:type="dxa"/>
            <w:vAlign w:val="center"/>
          </w:tcPr>
          <w:p w14:paraId="19A644A1">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5540" w:type="dxa"/>
            <w:vAlign w:val="center"/>
          </w:tcPr>
          <w:p w14:paraId="1AA38891">
            <w:pPr>
              <w:pStyle w:val="54"/>
              <w:snapToGrid w:val="0"/>
              <w:spacing w:line="240" w:lineRule="auto"/>
              <w:ind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w:t>
            </w:r>
            <w:r>
              <w:rPr>
                <w:rFonts w:hint="eastAsia" w:ascii="宋体" w:hAnsi="宋体" w:cs="宋体"/>
                <w:sz w:val="24"/>
                <w:highlight w:val="none"/>
                <w:lang w:val="en-US" w:eastAsia="zh-CN"/>
              </w:rPr>
              <w:t>最高限价21万元</w:t>
            </w:r>
            <w:r>
              <w:rPr>
                <w:rFonts w:hint="eastAsia" w:ascii="宋体" w:hAnsi="宋体" w:eastAsia="宋体" w:cs="宋体"/>
                <w:sz w:val="24"/>
                <w:highlight w:val="none"/>
                <w:lang w:val="en-US" w:eastAsia="zh-CN"/>
              </w:rPr>
              <w:t>。</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167" w:type="dxa"/>
            <w:vAlign w:val="center"/>
          </w:tcPr>
          <w:p w14:paraId="5C8F5D0C">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签字或盖章要求</w:t>
            </w:r>
          </w:p>
        </w:tc>
        <w:tc>
          <w:tcPr>
            <w:tcW w:w="5540" w:type="dxa"/>
            <w:vAlign w:val="center"/>
          </w:tcPr>
          <w:p w14:paraId="02F16B4E">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响应文件按“响应文件格式”中提供的格式签署、盖章。</w:t>
            </w:r>
            <w:r>
              <w:rPr>
                <w:rFonts w:hint="eastAsia" w:ascii="宋体" w:hAnsi="宋体" w:eastAsia="宋体" w:cs="宋体"/>
                <w:b/>
                <w:bCs/>
                <w:snapToGrid w:val="0"/>
                <w:sz w:val="24"/>
                <w:highlight w:val="none"/>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167" w:type="dxa"/>
            <w:vAlign w:val="center"/>
          </w:tcPr>
          <w:p w14:paraId="634D0C0D">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报名截止时间</w:t>
            </w:r>
          </w:p>
        </w:tc>
        <w:tc>
          <w:tcPr>
            <w:tcW w:w="5540" w:type="dxa"/>
            <w:vAlign w:val="center"/>
          </w:tcPr>
          <w:p w14:paraId="1DD42784">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167" w:type="dxa"/>
            <w:vAlign w:val="center"/>
          </w:tcPr>
          <w:p w14:paraId="2B8623A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响应文件提交时间和地点</w:t>
            </w:r>
          </w:p>
        </w:tc>
        <w:tc>
          <w:tcPr>
            <w:tcW w:w="5540" w:type="dxa"/>
            <w:vAlign w:val="center"/>
          </w:tcPr>
          <w:p w14:paraId="5412750A">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167" w:type="dxa"/>
            <w:vAlign w:val="center"/>
          </w:tcPr>
          <w:p w14:paraId="0BEDA3D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5540" w:type="dxa"/>
            <w:vAlign w:val="center"/>
          </w:tcPr>
          <w:p w14:paraId="36B45018">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本项目不组织统一的现场踏勘，供应商可自行前往。</w:t>
            </w:r>
          </w:p>
          <w:p w14:paraId="3E71776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请供应商仔细阅读本采购文件，其中带“▲”标记的条款为实质性内容，供应商须对带“▲”标记的条款作出实质性响应。</w:t>
            </w:r>
          </w:p>
        </w:tc>
      </w:tr>
    </w:tbl>
    <w:p w14:paraId="10F17655">
      <w:pPr>
        <w:pStyle w:val="4"/>
        <w:jc w:val="both"/>
        <w:rPr>
          <w:rFonts w:hint="eastAsia" w:ascii="宋体" w:hAnsi="宋体" w:eastAsia="宋体" w:cs="宋体"/>
          <w:highlight w:val="none"/>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bookmarkStart w:id="9" w:name="_Toc495317669"/>
    </w:p>
    <w:p w14:paraId="2F0D0072">
      <w:pPr>
        <w:pStyle w:val="4"/>
        <w:rPr>
          <w:rFonts w:hint="eastAsia" w:ascii="宋体" w:hAnsi="宋体" w:eastAsia="宋体" w:cs="宋体"/>
          <w:highlight w:val="none"/>
        </w:rPr>
      </w:pPr>
      <w:r>
        <w:rPr>
          <w:rFonts w:hint="eastAsia" w:ascii="宋体" w:hAnsi="宋体" w:eastAsia="宋体" w:cs="宋体"/>
          <w:highlight w:val="none"/>
        </w:rPr>
        <w:t>第二章 采购内容及需求</w:t>
      </w:r>
      <w:bookmarkEnd w:id="9"/>
    </w:p>
    <w:p w14:paraId="4F212935">
      <w:pPr>
        <w:spacing w:line="440" w:lineRule="exact"/>
        <w:rPr>
          <w:rFonts w:hint="eastAsia" w:ascii="宋体" w:hAnsi="宋体" w:cs="仿宋_GB2312"/>
          <w:b/>
          <w:color w:val="auto"/>
          <w:sz w:val="24"/>
          <w:szCs w:val="24"/>
        </w:rPr>
      </w:pPr>
      <w:bookmarkStart w:id="10" w:name="_Toc472544471"/>
      <w:r>
        <w:rPr>
          <w:rFonts w:hint="eastAsia" w:ascii="宋体" w:hAnsi="宋体" w:cs="仿宋_GB2312"/>
          <w:b/>
          <w:color w:val="auto"/>
          <w:sz w:val="24"/>
          <w:szCs w:val="24"/>
          <w:lang w:val="en-US" w:eastAsia="zh-CN"/>
        </w:rPr>
        <w:t>一、</w:t>
      </w:r>
      <w:r>
        <w:rPr>
          <w:rFonts w:hint="eastAsia" w:ascii="宋体" w:hAnsi="宋体" w:cs="仿宋_GB2312"/>
          <w:b/>
          <w:color w:val="auto"/>
          <w:sz w:val="24"/>
          <w:szCs w:val="24"/>
        </w:rPr>
        <w:t>报价方式</w:t>
      </w:r>
    </w:p>
    <w:p w14:paraId="434BC9C0">
      <w:pPr>
        <w:spacing w:line="440" w:lineRule="exact"/>
        <w:ind w:firstLine="480" w:firstLineChars="200"/>
        <w:rPr>
          <w:rFonts w:hint="eastAsia" w:ascii="宋体" w:hAnsi="宋体" w:cs="宋体"/>
          <w:color w:val="000000"/>
          <w:sz w:val="24"/>
          <w:szCs w:val="24"/>
        </w:rPr>
      </w:pPr>
      <w:r>
        <w:rPr>
          <w:rFonts w:hint="eastAsia"/>
          <w:color w:val="000000"/>
          <w:sz w:val="24"/>
        </w:rPr>
        <w:t>投标人须对</w:t>
      </w:r>
      <w:r>
        <w:rPr>
          <w:rFonts w:hint="eastAsia"/>
          <w:color w:val="000000"/>
          <w:sz w:val="24"/>
          <w:lang w:val="en-US" w:eastAsia="zh-CN"/>
        </w:rPr>
        <w:t>两院区</w:t>
      </w:r>
      <w:r>
        <w:rPr>
          <w:rFonts w:hint="eastAsia"/>
          <w:color w:val="000000"/>
          <w:sz w:val="24"/>
          <w:lang w:eastAsia="zh-CN"/>
        </w:rPr>
        <w:t>病媒生物防制每年服务费</w:t>
      </w:r>
      <w:r>
        <w:rPr>
          <w:rFonts w:hint="eastAsia"/>
          <w:color w:val="000000"/>
          <w:sz w:val="24"/>
        </w:rPr>
        <w:t>进行投标报价。</w:t>
      </w:r>
    </w:p>
    <w:p w14:paraId="5ACC93F1">
      <w:pPr>
        <w:numPr>
          <w:ilvl w:val="0"/>
          <w:numId w:val="0"/>
        </w:numPr>
        <w:spacing w:line="440" w:lineRule="exact"/>
        <w:ind w:leftChars="0"/>
        <w:rPr>
          <w:rFonts w:hint="eastAsia" w:ascii="宋体" w:hAnsi="宋体" w:cs="仿宋_GB2312"/>
          <w:b/>
          <w:color w:val="000000"/>
          <w:sz w:val="24"/>
          <w:szCs w:val="24"/>
          <w:lang w:eastAsia="zh-CN"/>
        </w:rPr>
      </w:pPr>
      <w:r>
        <w:rPr>
          <w:rFonts w:hint="eastAsia" w:ascii="宋体" w:hAnsi="宋体" w:cs="仿宋_GB2312"/>
          <w:b/>
          <w:color w:val="000000"/>
          <w:sz w:val="24"/>
          <w:szCs w:val="24"/>
          <w:lang w:val="en-US" w:eastAsia="zh-CN"/>
        </w:rPr>
        <w:t>二</w:t>
      </w:r>
      <w:r>
        <w:rPr>
          <w:rFonts w:hint="eastAsia" w:ascii="宋体" w:hAnsi="宋体" w:cs="仿宋_GB2312"/>
          <w:b/>
          <w:color w:val="000000"/>
          <w:sz w:val="24"/>
          <w:szCs w:val="24"/>
          <w:lang w:eastAsia="zh-CN"/>
        </w:rPr>
        <w:t>、病媒生物防制服务要求</w:t>
      </w:r>
    </w:p>
    <w:p w14:paraId="7491E000">
      <w:pPr>
        <w:numPr>
          <w:ilvl w:val="0"/>
          <w:numId w:val="0"/>
        </w:numPr>
        <w:spacing w:line="440" w:lineRule="exact"/>
        <w:ind w:leftChars="0"/>
        <w:rPr>
          <w:rFonts w:hint="eastAsia" w:ascii="宋体" w:hAnsi="宋体" w:eastAsia="宋体" w:cs="仿宋_GB2312"/>
          <w:b/>
          <w:color w:val="000000"/>
          <w:sz w:val="24"/>
          <w:szCs w:val="24"/>
          <w:lang w:val="en-US" w:eastAsia="zh-CN"/>
        </w:rPr>
      </w:pPr>
      <w:r>
        <w:rPr>
          <w:rFonts w:hint="eastAsia" w:ascii="宋体" w:hAnsi="宋体" w:cs="仿宋_GB2312"/>
          <w:b/>
          <w:color w:val="000000"/>
          <w:sz w:val="24"/>
          <w:szCs w:val="24"/>
          <w:lang w:val="en-US" w:eastAsia="zh-CN"/>
        </w:rPr>
        <w:t xml:space="preserve">   浙江省人民医院富阳院区、江北院区</w:t>
      </w:r>
      <w:r>
        <w:rPr>
          <w:rFonts w:hint="eastAsia" w:ascii="宋体" w:hAnsi="宋体"/>
          <w:color w:val="000000"/>
          <w:sz w:val="24"/>
        </w:rPr>
        <w:t>所有室内外的病媒体防治消杀服务，重点是四害的防制</w:t>
      </w:r>
      <w:r>
        <w:rPr>
          <w:rFonts w:hint="eastAsia" w:ascii="宋体" w:hAnsi="宋体"/>
          <w:color w:val="000000"/>
          <w:sz w:val="24"/>
          <w:lang w:eastAsia="zh-CN"/>
        </w:rPr>
        <w:t>，总体要求是院区内病媒生物防制达</w:t>
      </w:r>
      <w:r>
        <w:rPr>
          <w:rFonts w:hint="eastAsia" w:ascii="宋体" w:hAnsi="宋体" w:eastAsia="宋体" w:cs="Times New Roman"/>
          <w:b/>
          <w:bCs/>
          <w:sz w:val="24"/>
          <w:szCs w:val="24"/>
        </w:rPr>
        <w:t>国家病媒生物密度控制标准C级要求</w:t>
      </w:r>
      <w:r>
        <w:rPr>
          <w:rFonts w:hint="eastAsia" w:ascii="宋体" w:hAnsi="宋体" w:eastAsia="宋体" w:cs="Times New Roman"/>
          <w:b/>
          <w:bCs/>
          <w:sz w:val="24"/>
          <w:szCs w:val="24"/>
          <w:lang w:eastAsia="zh-CN"/>
        </w:rPr>
        <w:t>。具体要求如下（包含但不限于以下内容）：</w:t>
      </w:r>
    </w:p>
    <w:p w14:paraId="7B82B119">
      <w:pPr>
        <w:spacing w:line="360" w:lineRule="auto"/>
        <w:ind w:firstLine="480" w:firstLineChars="200"/>
        <w:rPr>
          <w:rFonts w:hint="eastAsia"/>
          <w:sz w:val="24"/>
        </w:rPr>
      </w:pPr>
      <w:r>
        <w:rPr>
          <w:rFonts w:hint="eastAsia"/>
          <w:sz w:val="24"/>
          <w:lang w:val="en-US" w:eastAsia="zh-CN"/>
        </w:rPr>
        <w:t>1</w:t>
      </w:r>
      <w:r>
        <w:rPr>
          <w:rFonts w:hint="eastAsia"/>
          <w:sz w:val="24"/>
        </w:rPr>
        <w:t>、中标方须认真履行职责，制定严格的年度及月度工作计划和工作总结，严格按质量保证体系做好</w:t>
      </w:r>
      <w:r>
        <w:rPr>
          <w:rFonts w:hint="eastAsia"/>
          <w:sz w:val="24"/>
          <w:lang w:val="en-US" w:eastAsia="zh-CN"/>
        </w:rPr>
        <w:t>两院区</w:t>
      </w:r>
      <w:r>
        <w:rPr>
          <w:rFonts w:hint="eastAsia"/>
          <w:sz w:val="24"/>
        </w:rPr>
        <w:t>“病媒防治”工作，使全院全年害虫密度控制在国家规定的标准范围内。按国家相关规定做好害虫密度监测工作，并做好相关的台帐资料。如不能按期保质保量完成防治工作，招标人有权扣除其部分或全部服务费</w:t>
      </w:r>
      <w:r>
        <w:rPr>
          <w:rFonts w:hint="eastAsia"/>
          <w:sz w:val="24"/>
          <w:lang w:eastAsia="zh-CN"/>
        </w:rPr>
        <w:t>用</w:t>
      </w:r>
      <w:r>
        <w:rPr>
          <w:rFonts w:hint="eastAsia"/>
          <w:sz w:val="24"/>
        </w:rPr>
        <w:t>。</w:t>
      </w:r>
    </w:p>
    <w:p w14:paraId="2BFCF6FC">
      <w:pPr>
        <w:spacing w:line="360" w:lineRule="auto"/>
        <w:ind w:firstLine="480" w:firstLineChars="200"/>
        <w:rPr>
          <w:rFonts w:hint="eastAsia"/>
          <w:sz w:val="24"/>
        </w:rPr>
      </w:pPr>
      <w:r>
        <w:rPr>
          <w:rFonts w:hint="eastAsia"/>
          <w:sz w:val="24"/>
          <w:lang w:val="en-US" w:eastAsia="zh-CN"/>
        </w:rPr>
        <w:t>2</w:t>
      </w:r>
      <w:r>
        <w:rPr>
          <w:rFonts w:hint="eastAsia"/>
          <w:sz w:val="24"/>
        </w:rPr>
        <w:t>、中标方应派遣专职的消杀员到招标单位，消杀员持有上岗证，现场服务必须统一服装、持证上岗、规范服务。</w:t>
      </w:r>
    </w:p>
    <w:p w14:paraId="0C4A22A0">
      <w:pPr>
        <w:spacing w:line="360" w:lineRule="auto"/>
        <w:ind w:firstLine="480" w:firstLineChars="200"/>
        <w:rPr>
          <w:rFonts w:hint="eastAsia"/>
          <w:sz w:val="24"/>
        </w:rPr>
      </w:pPr>
      <w:r>
        <w:rPr>
          <w:rFonts w:hint="eastAsia"/>
          <w:sz w:val="24"/>
          <w:lang w:val="en-US" w:eastAsia="zh-CN"/>
        </w:rPr>
        <w:t>3</w:t>
      </w:r>
      <w:r>
        <w:rPr>
          <w:rFonts w:hint="eastAsia"/>
          <w:sz w:val="24"/>
        </w:rPr>
        <w:t>、消杀工作每周至少安排一次，</w:t>
      </w:r>
      <w:r>
        <w:rPr>
          <w:rFonts w:hint="eastAsia"/>
          <w:sz w:val="24"/>
          <w:lang w:eastAsia="zh-CN"/>
        </w:rPr>
        <w:t>每周工作时间不少于</w:t>
      </w:r>
      <w:r>
        <w:rPr>
          <w:rFonts w:hint="eastAsia"/>
          <w:sz w:val="24"/>
          <w:lang w:val="en-US" w:eastAsia="zh-CN"/>
        </w:rPr>
        <w:t>8小时，</w:t>
      </w:r>
      <w:r>
        <w:rPr>
          <w:rFonts w:hint="eastAsia"/>
          <w:sz w:val="24"/>
        </w:rPr>
        <w:t>有特殊情况必须随叫随到。</w:t>
      </w:r>
    </w:p>
    <w:p w14:paraId="012D9A88">
      <w:pPr>
        <w:spacing w:line="360" w:lineRule="auto"/>
        <w:ind w:firstLine="480" w:firstLineChars="200"/>
        <w:rPr>
          <w:rFonts w:hint="eastAsia"/>
          <w:sz w:val="24"/>
        </w:rPr>
      </w:pPr>
      <w:r>
        <w:rPr>
          <w:rFonts w:hint="eastAsia"/>
          <w:sz w:val="24"/>
          <w:lang w:val="en-US" w:eastAsia="zh-CN"/>
        </w:rPr>
        <w:t>4</w:t>
      </w:r>
      <w:r>
        <w:rPr>
          <w:rFonts w:hint="eastAsia"/>
          <w:sz w:val="24"/>
        </w:rPr>
        <w:t>、每次服务后需提供一份常规性服务报告，包括所到的科室负责人的签名，病媒生物监测记录、消杀情况，并定期提供控制方案和建议采取的措施等。</w:t>
      </w:r>
    </w:p>
    <w:p w14:paraId="743A43B9">
      <w:pPr>
        <w:spacing w:line="360" w:lineRule="auto"/>
        <w:ind w:firstLine="480" w:firstLineChars="200"/>
        <w:rPr>
          <w:rFonts w:hint="eastAsia"/>
          <w:sz w:val="24"/>
        </w:rPr>
      </w:pPr>
      <w:r>
        <w:rPr>
          <w:rFonts w:hint="eastAsia"/>
          <w:sz w:val="24"/>
          <w:lang w:val="en-US" w:eastAsia="zh-CN"/>
        </w:rPr>
        <w:t>5</w:t>
      </w:r>
      <w:r>
        <w:rPr>
          <w:rFonts w:hint="eastAsia"/>
          <w:sz w:val="24"/>
        </w:rPr>
        <w:t>、所提供的所有杀虫药品及产品必须符合国家相关标准，需向院方提供在我院使用药品的三证和MSDS报告。药品清单应在正式使用前，得到院方的认可和确认，若协议期内服务方需更换药品，更换前需得到院方认可；现场使用的任何化学药剂、服务设施和工具等，在服务完毕后，需带离现场。</w:t>
      </w:r>
    </w:p>
    <w:p w14:paraId="0CBF8531">
      <w:pPr>
        <w:spacing w:line="360" w:lineRule="auto"/>
        <w:ind w:firstLine="480" w:firstLineChars="200"/>
        <w:rPr>
          <w:rFonts w:hint="eastAsia"/>
          <w:sz w:val="24"/>
        </w:rPr>
      </w:pPr>
      <w:r>
        <w:rPr>
          <w:rFonts w:hint="eastAsia"/>
          <w:sz w:val="24"/>
          <w:lang w:val="en-US" w:eastAsia="zh-CN"/>
        </w:rPr>
        <w:t>6</w:t>
      </w:r>
      <w:r>
        <w:rPr>
          <w:rFonts w:hint="eastAsia"/>
          <w:sz w:val="24"/>
        </w:rPr>
        <w:t>、现场放置设施及药剂需张贴警示标识和告示，确保用药的安全性。凡因投标方投入使用的药剂或设备而造成的采购方及第三方人员及其他的伤亡损失等均由投标方负责，与招标方无关。</w:t>
      </w:r>
    </w:p>
    <w:p w14:paraId="246C2A43">
      <w:pPr>
        <w:spacing w:line="360" w:lineRule="auto"/>
        <w:ind w:firstLine="480" w:firstLineChars="200"/>
        <w:rPr>
          <w:rFonts w:hint="eastAsia"/>
          <w:sz w:val="24"/>
        </w:rPr>
      </w:pPr>
      <w:r>
        <w:rPr>
          <w:rFonts w:hint="eastAsia"/>
          <w:sz w:val="24"/>
          <w:lang w:val="en-US" w:eastAsia="zh-CN"/>
        </w:rPr>
        <w:t>7</w:t>
      </w:r>
      <w:r>
        <w:rPr>
          <w:rFonts w:hint="eastAsia"/>
          <w:sz w:val="24"/>
        </w:rPr>
        <w:t>、积极配合医院完成各种大型的检查如病媒生物防制先进城区检查、国家卫生城市复评等工作，并提供相应的台账资料，如不能保质保量完成检查任务并提供相应的台账资料，招标人有权扣除其部分或全部服务费用。</w:t>
      </w:r>
    </w:p>
    <w:p w14:paraId="0D52ECBF">
      <w:pPr>
        <w:spacing w:line="360" w:lineRule="auto"/>
        <w:ind w:firstLine="480" w:firstLineChars="200"/>
        <w:rPr>
          <w:rFonts w:hint="eastAsia"/>
          <w:sz w:val="24"/>
          <w:lang w:val="en-US" w:eastAsia="zh-CN"/>
        </w:rPr>
      </w:pPr>
      <w:r>
        <w:rPr>
          <w:rFonts w:hint="eastAsia"/>
          <w:sz w:val="24"/>
          <w:lang w:val="en-US" w:eastAsia="zh-CN"/>
        </w:rPr>
        <w:t>8、投入我院两院区内的药剂和耗材数量要求如下（以下要求为基本需求，投标人提供的药剂和耗材需等于或多于以下数量）：</w:t>
      </w:r>
    </w:p>
    <w:p w14:paraId="59C741F0">
      <w:pPr>
        <w:spacing w:line="360" w:lineRule="auto"/>
        <w:jc w:val="center"/>
        <w:rPr>
          <w:rFonts w:hint="eastAsia"/>
          <w:sz w:val="24"/>
          <w:lang w:val="en-US" w:eastAsia="zh-CN"/>
        </w:rPr>
      </w:pPr>
      <w:r>
        <w:rPr>
          <w:rFonts w:hint="eastAsia"/>
          <w:sz w:val="24"/>
          <w:lang w:val="en-US" w:eastAsia="zh-CN"/>
        </w:rPr>
        <w:drawing>
          <wp:inline distT="0" distB="0" distL="114300" distR="114300">
            <wp:extent cx="5283200" cy="4242435"/>
            <wp:effectExtent l="0" t="0" r="12700" b="5715"/>
            <wp:docPr id="3" name="图片 1" descr="e1695b4bd3ec2c617d8b03f27c553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e1695b4bd3ec2c617d8b03f27c553aa3"/>
                    <pic:cNvPicPr>
                      <a:picLocks noChangeAspect="1"/>
                    </pic:cNvPicPr>
                  </pic:nvPicPr>
                  <pic:blipFill>
                    <a:blip r:embed="rId13"/>
                    <a:stretch>
                      <a:fillRect/>
                    </a:stretch>
                  </pic:blipFill>
                  <pic:spPr>
                    <a:xfrm>
                      <a:off x="0" y="0"/>
                      <a:ext cx="5283200" cy="4242435"/>
                    </a:xfrm>
                    <a:prstGeom prst="rect">
                      <a:avLst/>
                    </a:prstGeom>
                    <a:noFill/>
                    <a:ln>
                      <a:noFill/>
                    </a:ln>
                  </pic:spPr>
                </pic:pic>
              </a:graphicData>
            </a:graphic>
          </wp:inline>
        </w:drawing>
      </w:r>
    </w:p>
    <w:p w14:paraId="0E578B6A">
      <w:pPr>
        <w:spacing w:line="440" w:lineRule="exact"/>
        <w:rPr>
          <w:rFonts w:hint="eastAsia" w:ascii="宋体" w:hAnsi="宋体" w:cs="仿宋_GB2312"/>
          <w:b/>
          <w:color w:val="000000"/>
          <w:sz w:val="24"/>
          <w:szCs w:val="24"/>
        </w:rPr>
      </w:pPr>
      <w:r>
        <w:rPr>
          <w:rFonts w:hint="eastAsia" w:ascii="宋体" w:hAnsi="宋体" w:cs="仿宋_GB2312"/>
          <w:b/>
          <w:color w:val="000000"/>
          <w:sz w:val="24"/>
          <w:szCs w:val="24"/>
          <w:lang w:val="en-US" w:eastAsia="zh-CN"/>
        </w:rPr>
        <w:t>三</w:t>
      </w:r>
      <w:r>
        <w:rPr>
          <w:rFonts w:hint="eastAsia" w:ascii="宋体" w:hAnsi="宋体" w:cs="仿宋_GB2312"/>
          <w:b/>
          <w:color w:val="000000"/>
          <w:sz w:val="24"/>
          <w:szCs w:val="24"/>
        </w:rPr>
        <w:t>、服务期限</w:t>
      </w:r>
    </w:p>
    <w:p w14:paraId="53316DD5">
      <w:pPr>
        <w:spacing w:line="440" w:lineRule="exact"/>
        <w:ind w:firstLine="480" w:firstLineChars="200"/>
        <w:rPr>
          <w:rFonts w:hint="eastAsia" w:ascii="宋体" w:hAnsi="宋体" w:cs="仿宋_GB2312"/>
          <w:color w:val="auto"/>
          <w:sz w:val="24"/>
          <w:szCs w:val="24"/>
        </w:rPr>
      </w:pPr>
      <w:r>
        <w:rPr>
          <w:rFonts w:hint="eastAsia" w:ascii="宋体" w:hAnsi="宋体" w:cs="仿宋_GB2312"/>
          <w:color w:val="000000"/>
          <w:sz w:val="24"/>
          <w:szCs w:val="24"/>
        </w:rPr>
        <w:t>服务期限</w:t>
      </w:r>
      <w:r>
        <w:rPr>
          <w:rFonts w:hint="eastAsia" w:ascii="宋体" w:hAnsi="宋体" w:cs="仿宋_GB2312"/>
          <w:color w:val="000000"/>
          <w:sz w:val="24"/>
          <w:szCs w:val="24"/>
          <w:lang w:val="en-US" w:eastAsia="zh-CN"/>
        </w:rPr>
        <w:t>3</w:t>
      </w:r>
      <w:r>
        <w:rPr>
          <w:rFonts w:hint="eastAsia" w:ascii="宋体" w:hAnsi="宋体" w:cs="仿宋_GB2312"/>
          <w:color w:val="000000"/>
          <w:sz w:val="24"/>
          <w:szCs w:val="24"/>
        </w:rPr>
        <w:t>年</w:t>
      </w:r>
      <w:r>
        <w:rPr>
          <w:rFonts w:hint="eastAsia" w:ascii="宋体" w:hAnsi="宋体" w:cs="仿宋_GB2312"/>
          <w:color w:val="auto"/>
          <w:sz w:val="24"/>
          <w:szCs w:val="24"/>
        </w:rPr>
        <w:t>。</w:t>
      </w:r>
    </w:p>
    <w:p w14:paraId="5D0BB8D2">
      <w:pPr>
        <w:numPr>
          <w:ilvl w:val="0"/>
          <w:numId w:val="0"/>
        </w:numPr>
        <w:spacing w:line="440" w:lineRule="exact"/>
        <w:rPr>
          <w:rFonts w:hint="eastAsia" w:ascii="宋体" w:hAnsi="宋体" w:cs="仿宋_GB2312"/>
          <w:b/>
          <w:color w:val="000000"/>
          <w:sz w:val="24"/>
          <w:szCs w:val="24"/>
        </w:rPr>
      </w:pPr>
      <w:r>
        <w:rPr>
          <w:rFonts w:hint="eastAsia" w:ascii="宋体" w:hAnsi="宋体" w:cs="仿宋_GB2312"/>
          <w:b/>
          <w:color w:val="000000"/>
          <w:sz w:val="24"/>
          <w:szCs w:val="24"/>
          <w:lang w:val="en-US" w:eastAsia="zh-CN"/>
        </w:rPr>
        <w:t>四、</w:t>
      </w:r>
      <w:r>
        <w:rPr>
          <w:rFonts w:hint="eastAsia" w:ascii="宋体" w:hAnsi="宋体" w:cs="仿宋_GB2312"/>
          <w:b/>
          <w:color w:val="000000"/>
          <w:sz w:val="24"/>
          <w:szCs w:val="24"/>
        </w:rPr>
        <w:t>人员要求</w:t>
      </w:r>
    </w:p>
    <w:p w14:paraId="090BE0C2">
      <w:pPr>
        <w:spacing w:line="440" w:lineRule="exact"/>
        <w:ind w:firstLine="480" w:firstLineChars="200"/>
        <w:rPr>
          <w:rFonts w:hint="eastAsia" w:ascii="宋体" w:hAnsi="宋体" w:cs="仿宋_GB2312"/>
          <w:b/>
          <w:color w:val="000000"/>
          <w:sz w:val="24"/>
          <w:szCs w:val="24"/>
        </w:rPr>
      </w:pPr>
      <w:r>
        <w:rPr>
          <w:rFonts w:hint="eastAsia" w:ascii="宋体" w:hAnsi="宋体" w:cs="仿宋_GB2312"/>
          <w:bCs/>
          <w:color w:val="000000"/>
          <w:sz w:val="24"/>
          <w:szCs w:val="24"/>
          <w:lang w:eastAsia="zh-CN"/>
        </w:rPr>
        <w:t>病媒生物防制</w:t>
      </w:r>
      <w:r>
        <w:rPr>
          <w:rFonts w:hint="eastAsia" w:ascii="宋体" w:hAnsi="宋体" w:cs="仿宋_GB2312"/>
          <w:bCs/>
          <w:color w:val="000000"/>
          <w:sz w:val="24"/>
          <w:szCs w:val="24"/>
        </w:rPr>
        <w:t>人员必须无刑事、治安等不良的记录。所有</w:t>
      </w:r>
      <w:r>
        <w:rPr>
          <w:rFonts w:hint="eastAsia" w:ascii="宋体" w:hAnsi="宋体" w:cs="仿宋_GB2312"/>
          <w:bCs/>
          <w:color w:val="000000"/>
          <w:sz w:val="24"/>
          <w:szCs w:val="24"/>
          <w:lang w:eastAsia="zh-CN"/>
        </w:rPr>
        <w:t>服务</w:t>
      </w:r>
      <w:r>
        <w:rPr>
          <w:rFonts w:hint="eastAsia" w:ascii="宋体" w:hAnsi="宋体" w:cs="仿宋_GB2312"/>
          <w:bCs/>
          <w:color w:val="000000"/>
          <w:sz w:val="24"/>
          <w:szCs w:val="24"/>
        </w:rPr>
        <w:t>人员名单及相关信息报医院保卫科备案，辞退及新进人员信息要求及时备案更新。</w:t>
      </w:r>
    </w:p>
    <w:p w14:paraId="389748E7">
      <w:pPr>
        <w:spacing w:line="360" w:lineRule="auto"/>
        <w:rPr>
          <w:rFonts w:hint="eastAsia" w:ascii="宋体" w:hAnsi="宋体" w:cs="仿宋_GB2312"/>
          <w:b/>
          <w:color w:val="000000"/>
          <w:sz w:val="24"/>
          <w:szCs w:val="24"/>
        </w:rPr>
      </w:pPr>
      <w:r>
        <w:rPr>
          <w:rFonts w:hint="eastAsia" w:ascii="宋体" w:hAnsi="宋体" w:cs="仿宋_GB2312"/>
          <w:b/>
          <w:color w:val="000000"/>
          <w:sz w:val="24"/>
          <w:szCs w:val="24"/>
          <w:lang w:val="en-US" w:eastAsia="zh-CN"/>
        </w:rPr>
        <w:t>五</w:t>
      </w:r>
      <w:r>
        <w:rPr>
          <w:rFonts w:hint="eastAsia" w:ascii="宋体" w:hAnsi="宋体" w:cs="仿宋_GB2312"/>
          <w:b/>
          <w:color w:val="000000"/>
          <w:sz w:val="24"/>
          <w:szCs w:val="24"/>
        </w:rPr>
        <w:t>、其它要求</w:t>
      </w:r>
    </w:p>
    <w:p w14:paraId="3572358E">
      <w:pPr>
        <w:spacing w:line="360" w:lineRule="auto"/>
        <w:ind w:firstLine="480" w:firstLineChars="200"/>
        <w:rPr>
          <w:rFonts w:hint="eastAsia" w:ascii="宋体" w:hAnsi="宋体" w:cs="仿宋_GB2312"/>
          <w:bCs/>
          <w:color w:val="000000"/>
          <w:sz w:val="24"/>
          <w:szCs w:val="24"/>
        </w:rPr>
      </w:pPr>
      <w:r>
        <w:rPr>
          <w:rFonts w:hint="eastAsia" w:ascii="宋体" w:hAnsi="宋体" w:cs="仿宋_GB2312"/>
          <w:bCs/>
          <w:color w:val="000000"/>
          <w:sz w:val="24"/>
          <w:szCs w:val="24"/>
        </w:rPr>
        <w:t>1、中标人应按招标人要求提供</w:t>
      </w:r>
      <w:r>
        <w:rPr>
          <w:rFonts w:hint="eastAsia" w:ascii="宋体" w:hAnsi="宋体" w:cs="仿宋_GB2312"/>
          <w:bCs/>
          <w:color w:val="000000"/>
          <w:sz w:val="24"/>
          <w:szCs w:val="24"/>
          <w:lang w:eastAsia="zh-CN"/>
        </w:rPr>
        <w:t>服务台账资料</w:t>
      </w:r>
      <w:r>
        <w:rPr>
          <w:rFonts w:hint="eastAsia" w:ascii="宋体" w:hAnsi="宋体" w:cs="仿宋_GB2312"/>
          <w:bCs/>
          <w:color w:val="000000"/>
          <w:sz w:val="24"/>
          <w:szCs w:val="24"/>
        </w:rPr>
        <w:t>，</w:t>
      </w:r>
      <w:r>
        <w:rPr>
          <w:rFonts w:hint="eastAsia" w:ascii="宋体" w:hAnsi="宋体" w:cs="仿宋_GB2312"/>
          <w:bCs/>
          <w:color w:val="000000"/>
          <w:sz w:val="24"/>
          <w:szCs w:val="24"/>
          <w:lang w:eastAsia="zh-CN"/>
        </w:rPr>
        <w:t>资料</w:t>
      </w:r>
      <w:r>
        <w:rPr>
          <w:rFonts w:hint="eastAsia" w:ascii="宋体" w:hAnsi="宋体" w:cs="仿宋_GB2312"/>
          <w:bCs/>
          <w:color w:val="000000"/>
          <w:sz w:val="24"/>
          <w:szCs w:val="24"/>
        </w:rPr>
        <w:t>须装订成册，招标人根据</w:t>
      </w:r>
      <w:r>
        <w:rPr>
          <w:rFonts w:hint="eastAsia" w:ascii="宋体" w:hAnsi="宋体" w:cs="仿宋_GB2312"/>
          <w:bCs/>
          <w:color w:val="000000"/>
          <w:sz w:val="24"/>
          <w:szCs w:val="24"/>
          <w:lang w:eastAsia="zh-CN"/>
        </w:rPr>
        <w:t>资料质量</w:t>
      </w:r>
      <w:r>
        <w:rPr>
          <w:rFonts w:hint="eastAsia" w:ascii="宋体" w:hAnsi="宋体" w:cs="仿宋_GB2312"/>
          <w:bCs/>
          <w:color w:val="000000"/>
          <w:sz w:val="24"/>
          <w:szCs w:val="24"/>
        </w:rPr>
        <w:t>进行考核。</w:t>
      </w:r>
    </w:p>
    <w:p w14:paraId="666C4207">
      <w:pPr>
        <w:spacing w:line="360" w:lineRule="auto"/>
        <w:ind w:firstLine="240" w:firstLineChars="100"/>
        <w:rPr>
          <w:rFonts w:hint="eastAsia"/>
          <w:color w:val="000000"/>
          <w:sz w:val="24"/>
        </w:rPr>
      </w:pPr>
      <w:r>
        <w:rPr>
          <w:rFonts w:hint="eastAsia" w:ascii="宋体" w:hAnsi="宋体" w:eastAsia="宋体" w:cs="宋体"/>
          <w:sz w:val="24"/>
          <w:szCs w:val="24"/>
          <w:highlight w:val="none"/>
        </w:rPr>
        <w:t>▲</w:t>
      </w:r>
      <w:r>
        <w:rPr>
          <w:rFonts w:hint="eastAsia" w:ascii="宋体" w:hAnsi="宋体"/>
          <w:sz w:val="24"/>
          <w:lang w:val="en-US" w:eastAsia="zh-CN"/>
        </w:rPr>
        <w:t>2</w:t>
      </w:r>
      <w:r>
        <w:rPr>
          <w:rFonts w:hint="eastAsia" w:ascii="宋体" w:hAnsi="宋体"/>
          <w:sz w:val="24"/>
        </w:rPr>
        <w:t>、</w:t>
      </w:r>
      <w:r>
        <w:rPr>
          <w:rFonts w:hint="eastAsia" w:ascii="宋体" w:hAnsi="宋体" w:cs="宋体"/>
          <w:sz w:val="24"/>
          <w:szCs w:val="24"/>
        </w:rPr>
        <w:t>投标</w:t>
      </w:r>
      <w:r>
        <w:rPr>
          <w:rFonts w:ascii="宋体" w:hAnsi="宋体" w:cs="宋体"/>
          <w:sz w:val="24"/>
          <w:szCs w:val="24"/>
        </w:rPr>
        <w:t>人应</w:t>
      </w:r>
      <w:r>
        <w:rPr>
          <w:rFonts w:hint="eastAsia" w:ascii="宋体" w:hAnsi="宋体" w:cs="宋体"/>
          <w:sz w:val="24"/>
          <w:szCs w:val="24"/>
        </w:rPr>
        <w:t>在投标时提供书面</w:t>
      </w:r>
      <w:r>
        <w:rPr>
          <w:rFonts w:ascii="宋体" w:hAnsi="宋体" w:cs="宋体"/>
          <w:sz w:val="24"/>
          <w:szCs w:val="24"/>
        </w:rPr>
        <w:t>承诺</w:t>
      </w:r>
      <w:r>
        <w:rPr>
          <w:rFonts w:hint="eastAsia" w:ascii="宋体" w:hAnsi="宋体" w:cs="宋体"/>
          <w:sz w:val="24"/>
          <w:szCs w:val="24"/>
        </w:rPr>
        <w:t>，若</w:t>
      </w:r>
      <w:r>
        <w:rPr>
          <w:rFonts w:ascii="宋体" w:hAnsi="宋体" w:cs="宋体"/>
          <w:sz w:val="24"/>
          <w:szCs w:val="24"/>
        </w:rPr>
        <w:t>在本项目</w:t>
      </w:r>
      <w:r>
        <w:rPr>
          <w:rFonts w:hint="eastAsia" w:ascii="宋体" w:hAnsi="宋体" w:cs="宋体"/>
          <w:sz w:val="24"/>
          <w:szCs w:val="24"/>
        </w:rPr>
        <w:t>中</w:t>
      </w:r>
      <w:r>
        <w:rPr>
          <w:rFonts w:ascii="宋体" w:hAnsi="宋体" w:cs="宋体"/>
          <w:sz w:val="24"/>
          <w:szCs w:val="24"/>
        </w:rPr>
        <w:t>中</w:t>
      </w:r>
      <w:r>
        <w:rPr>
          <w:rFonts w:hint="eastAsia" w:ascii="宋体" w:hAnsi="宋体" w:cs="宋体"/>
          <w:sz w:val="24"/>
          <w:szCs w:val="24"/>
        </w:rPr>
        <w:t>标</w:t>
      </w:r>
      <w:r>
        <w:rPr>
          <w:rFonts w:ascii="宋体" w:hAnsi="宋体" w:cs="宋体"/>
          <w:sz w:val="24"/>
          <w:szCs w:val="24"/>
        </w:rPr>
        <w:t>，则</w:t>
      </w:r>
      <w:r>
        <w:rPr>
          <w:rFonts w:hint="eastAsia" w:ascii="宋体" w:hAnsi="宋体" w:cs="宋体"/>
          <w:sz w:val="24"/>
          <w:szCs w:val="24"/>
        </w:rPr>
        <w:t>在本项目最终</w:t>
      </w:r>
      <w:r>
        <w:rPr>
          <w:rFonts w:ascii="宋体" w:hAnsi="宋体" w:cs="宋体"/>
          <w:sz w:val="24"/>
          <w:szCs w:val="24"/>
        </w:rPr>
        <w:t>实施</w:t>
      </w:r>
      <w:r>
        <w:rPr>
          <w:rFonts w:hint="eastAsia" w:ascii="宋体" w:hAnsi="宋体" w:cs="宋体"/>
          <w:sz w:val="24"/>
          <w:szCs w:val="24"/>
        </w:rPr>
        <w:t>时</w:t>
      </w:r>
      <w:r>
        <w:rPr>
          <w:rFonts w:ascii="宋体" w:hAnsi="宋体" w:cs="宋体"/>
          <w:sz w:val="24"/>
          <w:szCs w:val="24"/>
        </w:rPr>
        <w:t>，不进行转包、分包，</w:t>
      </w:r>
      <w:r>
        <w:rPr>
          <w:rFonts w:hint="eastAsia" w:ascii="宋体" w:hAnsi="宋体" w:cs="宋体"/>
          <w:sz w:val="24"/>
          <w:szCs w:val="24"/>
        </w:rPr>
        <w:t>招标人</w:t>
      </w:r>
      <w:r>
        <w:rPr>
          <w:rFonts w:ascii="宋体" w:hAnsi="宋体" w:cs="宋体"/>
          <w:sz w:val="24"/>
          <w:szCs w:val="24"/>
        </w:rPr>
        <w:t>一旦发现违规行为，即可视同违约并立即终止合同，且</w:t>
      </w:r>
      <w:r>
        <w:rPr>
          <w:rFonts w:hint="eastAsia" w:ascii="宋体" w:hAnsi="宋体" w:cs="宋体"/>
          <w:sz w:val="24"/>
          <w:szCs w:val="24"/>
        </w:rPr>
        <w:t>由中标</w:t>
      </w:r>
      <w:r>
        <w:rPr>
          <w:rFonts w:ascii="宋体" w:hAnsi="宋体" w:cs="宋体"/>
          <w:sz w:val="24"/>
          <w:szCs w:val="24"/>
        </w:rPr>
        <w:t>单位负责赔偿由此造成的经济损失</w:t>
      </w:r>
      <w:r>
        <w:rPr>
          <w:rFonts w:hint="eastAsia"/>
          <w:color w:val="000000"/>
          <w:sz w:val="24"/>
        </w:rPr>
        <w:t>。</w:t>
      </w:r>
    </w:p>
    <w:p w14:paraId="158EBFFA">
      <w:pPr>
        <w:pStyle w:val="41"/>
        <w:numPr>
          <w:ilvl w:val="0"/>
          <w:numId w:val="0"/>
        </w:numPr>
        <w:ind w:firstLine="240" w:firstLineChars="100"/>
        <w:rPr>
          <w:rFonts w:hint="eastAsia"/>
          <w:color w:val="000000"/>
          <w:sz w:val="24"/>
          <w:lang w:val="en-US" w:eastAsia="zh-CN"/>
        </w:rPr>
      </w:pPr>
      <w:r>
        <w:rPr>
          <w:rFonts w:hint="eastAsia" w:ascii="宋体" w:hAnsi="宋体" w:eastAsia="宋体" w:cs="宋体"/>
          <w:sz w:val="24"/>
          <w:szCs w:val="24"/>
          <w:highlight w:val="none"/>
        </w:rPr>
        <w:t>▲</w:t>
      </w:r>
      <w:r>
        <w:rPr>
          <w:rFonts w:hint="eastAsia" w:ascii="华文楷体" w:hAnsi="华文楷体" w:eastAsia="华文楷体" w:cs="华文楷体"/>
          <w:color w:val="000000"/>
          <w:sz w:val="24"/>
          <w:szCs w:val="21"/>
          <w:lang w:val="en-US" w:eastAsia="zh-CN" w:bidi="ar-SA"/>
        </w:rPr>
        <w:t>3、</w:t>
      </w:r>
      <w:r>
        <w:rPr>
          <w:rFonts w:hint="eastAsia"/>
          <w:color w:val="000000"/>
          <w:sz w:val="24"/>
          <w:lang w:val="en-US" w:eastAsia="zh-CN"/>
        </w:rPr>
        <w:t>因四害消杀工作导致科室投诉、相关监督检查等通报扣分的，医院按照严重程度予以500-2000元的处罚。</w:t>
      </w:r>
    </w:p>
    <w:p w14:paraId="46F6D934">
      <w:pPr>
        <w:pStyle w:val="41"/>
        <w:numPr>
          <w:ilvl w:val="0"/>
          <w:numId w:val="0"/>
        </w:numPr>
        <w:ind w:firstLine="240" w:firstLineChars="100"/>
        <w:rPr>
          <w:rFonts w:hint="eastAsia"/>
          <w:color w:val="000000"/>
          <w:sz w:val="24"/>
          <w:lang w:val="en-US" w:eastAsia="zh-CN"/>
        </w:rPr>
      </w:pPr>
      <w:r>
        <w:rPr>
          <w:rFonts w:hint="eastAsia" w:ascii="宋体" w:hAnsi="宋体" w:eastAsia="宋体" w:cs="宋体"/>
          <w:sz w:val="24"/>
          <w:szCs w:val="24"/>
          <w:highlight w:val="none"/>
        </w:rPr>
        <w:t>▲</w:t>
      </w:r>
      <w:r>
        <w:rPr>
          <w:rFonts w:hint="eastAsia" w:ascii="华文楷体" w:hAnsi="华文楷体" w:eastAsia="华文楷体" w:cs="华文楷体"/>
          <w:color w:val="000000"/>
          <w:sz w:val="24"/>
          <w:szCs w:val="21"/>
          <w:lang w:val="en-US" w:eastAsia="zh-CN" w:bidi="ar-SA"/>
        </w:rPr>
        <w:t>4、</w:t>
      </w:r>
      <w:r>
        <w:rPr>
          <w:rFonts w:hint="eastAsia"/>
          <w:color w:val="000000"/>
          <w:sz w:val="24"/>
          <w:lang w:val="en-US" w:eastAsia="zh-CN"/>
        </w:rPr>
        <w:t>服务单位未按照医院要求完成四害消杀指令性工作，特别是对临时突发状况未能及时处理的，医院医院按照严重程度予以每次500-2000元的处罚。</w:t>
      </w:r>
    </w:p>
    <w:p w14:paraId="3697AFCF">
      <w:pPr>
        <w:pStyle w:val="4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auto"/>
        <w:rPr>
          <w:rFonts w:hint="eastAsia" w:cs="仿宋_GB2312"/>
          <w:b/>
          <w:snapToGrid w:val="0"/>
          <w:color w:val="000000"/>
          <w:sz w:val="24"/>
          <w:szCs w:val="24"/>
          <w:lang w:val="en-US" w:eastAsia="zh-CN" w:bidi="ar-SA"/>
        </w:rPr>
      </w:pPr>
      <w:r>
        <w:rPr>
          <w:rFonts w:hint="eastAsia" w:ascii="宋体" w:hAnsi="宋体" w:eastAsia="宋体" w:cs="仿宋_GB2312"/>
          <w:b/>
          <w:snapToGrid w:val="0"/>
          <w:color w:val="000000"/>
          <w:sz w:val="24"/>
          <w:szCs w:val="24"/>
          <w:lang w:val="en-US" w:eastAsia="zh-CN" w:bidi="ar-SA"/>
        </w:rPr>
        <w:t>六、报价</w:t>
      </w:r>
      <w:r>
        <w:rPr>
          <w:rFonts w:hint="eastAsia" w:cs="仿宋_GB2312"/>
          <w:b/>
          <w:snapToGrid w:val="0"/>
          <w:color w:val="000000"/>
          <w:sz w:val="24"/>
          <w:szCs w:val="24"/>
          <w:lang w:val="en-US" w:eastAsia="zh-CN" w:bidi="ar-SA"/>
        </w:rPr>
        <w:t>要求</w:t>
      </w:r>
    </w:p>
    <w:p w14:paraId="5904D197">
      <w:pPr>
        <w:pStyle w:val="4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该项目</w:t>
      </w:r>
      <w:r>
        <w:rPr>
          <w:rFonts w:hint="eastAsia" w:cs="宋体"/>
          <w:highlight w:val="none"/>
          <w:lang w:val="en-US" w:eastAsia="zh-CN"/>
        </w:rPr>
        <w:t>为总价最高限价，</w:t>
      </w:r>
      <w:r>
        <w:rPr>
          <w:rFonts w:hint="eastAsia" w:ascii="宋体" w:hAnsi="宋体" w:eastAsia="宋体" w:cs="宋体"/>
          <w:highlight w:val="none"/>
        </w:rPr>
        <w:t>投标报价包括</w:t>
      </w:r>
      <w:r>
        <w:rPr>
          <w:rFonts w:hint="eastAsia" w:ascii="宋体" w:hAnsi="宋体" w:eastAsia="宋体" w:cs="宋体"/>
          <w:highlight w:val="none"/>
          <w:lang w:val="en-US" w:eastAsia="zh-CN"/>
        </w:rPr>
        <w:t>人工费、</w:t>
      </w:r>
      <w:r>
        <w:rPr>
          <w:rFonts w:hint="eastAsia" w:cs="宋体"/>
          <w:highlight w:val="none"/>
          <w:lang w:val="en-US" w:eastAsia="zh-CN"/>
        </w:rPr>
        <w:t>药品耗材费、器械费</w:t>
      </w:r>
      <w:r>
        <w:rPr>
          <w:rFonts w:hint="eastAsia" w:ascii="宋体" w:hAnsi="宋体" w:eastAsia="宋体" w:cs="宋体"/>
          <w:highlight w:val="none"/>
          <w:lang w:val="en-US" w:eastAsia="zh-CN"/>
        </w:rPr>
        <w:t>、检测费、交通费、材料费、文本费、</w:t>
      </w:r>
      <w:r>
        <w:rPr>
          <w:rFonts w:hint="eastAsia" w:ascii="宋体" w:hAnsi="宋体" w:eastAsia="宋体" w:cs="宋体"/>
          <w:highlight w:val="none"/>
        </w:rPr>
        <w:t>管理费、利润、规费、税金、政策性文件规定及合同包含的所有风险责任等完成本项目的所有费用。</w:t>
      </w:r>
    </w:p>
    <w:bookmarkEnd w:id="6"/>
    <w:bookmarkEnd w:id="10"/>
    <w:p w14:paraId="4C036CB4">
      <w:pPr>
        <w:pStyle w:val="4"/>
        <w:jc w:val="both"/>
        <w:rPr>
          <w:rFonts w:hint="eastAsia" w:ascii="宋体" w:hAnsi="宋体" w:eastAsia="宋体" w:cs="宋体"/>
          <w:highlight w:val="none"/>
        </w:rPr>
        <w:sectPr>
          <w:pgSz w:w="11906" w:h="16838"/>
          <w:pgMar w:top="1440" w:right="1800" w:bottom="1440" w:left="1800" w:header="851" w:footer="992" w:gutter="0"/>
          <w:pgNumType w:start="1"/>
          <w:cols w:space="720" w:num="1"/>
          <w:docGrid w:type="lines" w:linePitch="312" w:charSpace="0"/>
        </w:sectPr>
      </w:pPr>
    </w:p>
    <w:p w14:paraId="3460EEB9">
      <w:pPr>
        <w:pStyle w:val="4"/>
        <w:jc w:val="center"/>
        <w:rPr>
          <w:rFonts w:hint="eastAsia" w:ascii="宋体" w:hAnsi="宋体" w:eastAsia="宋体" w:cs="宋体"/>
          <w:highlight w:val="none"/>
        </w:rPr>
      </w:pPr>
      <w:r>
        <w:rPr>
          <w:rFonts w:hint="eastAsia" w:ascii="宋体" w:hAnsi="宋体" w:eastAsia="宋体" w:cs="宋体"/>
          <w:highlight w:val="none"/>
        </w:rPr>
        <w:t>第三章 评分标准</w:t>
      </w:r>
    </w:p>
    <w:p w14:paraId="69C11A5E">
      <w:pPr>
        <w:pStyle w:val="42"/>
        <w:rPr>
          <w:rFonts w:hint="eastAsia" w:ascii="宋体" w:hAnsi="宋体" w:eastAsia="宋体" w:cs="宋体"/>
          <w:highlight w:val="none"/>
        </w:rPr>
      </w:pPr>
      <w:r>
        <w:rPr>
          <w:rFonts w:hint="eastAsia" w:ascii="宋体" w:hAnsi="宋体" w:eastAsia="宋体" w:cs="宋体"/>
          <w:highlight w:val="none"/>
        </w:rPr>
        <w:t>本评审办法根据有关规定，并结合本项目的具体情况制定。</w:t>
      </w:r>
    </w:p>
    <w:p w14:paraId="301D64D6">
      <w:pPr>
        <w:pStyle w:val="42"/>
        <w:ind w:firstLine="482"/>
        <w:rPr>
          <w:rFonts w:hint="eastAsia" w:ascii="宋体" w:hAnsi="宋体" w:eastAsia="宋体" w:cs="宋体"/>
          <w:b/>
          <w:bCs/>
          <w:highlight w:val="none"/>
        </w:rPr>
      </w:pPr>
      <w:r>
        <w:rPr>
          <w:rFonts w:hint="eastAsia" w:ascii="宋体" w:hAnsi="宋体" w:eastAsia="宋体" w:cs="宋体"/>
          <w:b/>
          <w:bCs/>
          <w:highlight w:val="none"/>
        </w:rPr>
        <w:t>一、总则</w:t>
      </w:r>
    </w:p>
    <w:p w14:paraId="72B233AA">
      <w:pPr>
        <w:pStyle w:val="42"/>
        <w:rPr>
          <w:rFonts w:hint="eastAsia" w:ascii="宋体" w:hAnsi="宋体" w:eastAsia="宋体" w:cs="宋体"/>
          <w:highlight w:val="none"/>
        </w:rPr>
      </w:pPr>
      <w:r>
        <w:rPr>
          <w:rFonts w:hint="eastAsia" w:ascii="宋体" w:hAnsi="宋体" w:eastAsia="宋体" w:cs="宋体"/>
          <w:highlight w:val="none"/>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2"/>
        <w:rPr>
          <w:rFonts w:hint="eastAsia" w:ascii="宋体" w:hAnsi="宋体" w:eastAsia="宋体" w:cs="宋体"/>
          <w:highlight w:val="none"/>
        </w:rPr>
      </w:pPr>
      <w:r>
        <w:rPr>
          <w:rFonts w:hint="eastAsia" w:ascii="宋体" w:hAnsi="宋体" w:eastAsia="宋体" w:cs="宋体"/>
          <w:highlight w:val="none"/>
        </w:rPr>
        <w:t>对未成交供应商，磋商小组不作任何未获得成交的解释。</w:t>
      </w:r>
    </w:p>
    <w:p w14:paraId="5828B552">
      <w:pPr>
        <w:pStyle w:val="42"/>
        <w:ind w:firstLine="482"/>
        <w:rPr>
          <w:rFonts w:hint="eastAsia" w:ascii="宋体" w:hAnsi="宋体" w:eastAsia="宋体" w:cs="宋体"/>
          <w:b/>
          <w:bCs/>
          <w:highlight w:val="none"/>
        </w:rPr>
      </w:pPr>
      <w:r>
        <w:rPr>
          <w:rFonts w:hint="eastAsia" w:ascii="宋体" w:hAnsi="宋体" w:eastAsia="宋体" w:cs="宋体"/>
          <w:b/>
          <w:bCs/>
          <w:highlight w:val="none"/>
        </w:rPr>
        <w:t>二、评审组织</w:t>
      </w:r>
    </w:p>
    <w:p w14:paraId="2CC0F125">
      <w:pPr>
        <w:pStyle w:val="42"/>
        <w:rPr>
          <w:rFonts w:hint="eastAsia" w:ascii="宋体" w:hAnsi="宋体" w:eastAsia="宋体" w:cs="宋体"/>
          <w:highlight w:val="none"/>
        </w:rPr>
      </w:pPr>
      <w:r>
        <w:rPr>
          <w:rFonts w:hint="eastAsia" w:ascii="宋体" w:hAnsi="宋体" w:eastAsia="宋体" w:cs="宋体"/>
          <w:highlight w:val="none"/>
        </w:rPr>
        <w:t>评审工作由采购人组建的磋商小组负责。磋商小组负责磋商、评审等工作，并向采购人提出评审意见和评审报告。</w:t>
      </w:r>
    </w:p>
    <w:p w14:paraId="00EFD091">
      <w:pPr>
        <w:pStyle w:val="42"/>
        <w:ind w:firstLine="482"/>
        <w:rPr>
          <w:rFonts w:hint="eastAsia" w:ascii="宋体" w:hAnsi="宋体" w:eastAsia="宋体" w:cs="宋体"/>
          <w:b/>
          <w:bCs/>
          <w:highlight w:val="none"/>
        </w:rPr>
      </w:pPr>
      <w:r>
        <w:rPr>
          <w:rFonts w:hint="eastAsia" w:ascii="宋体" w:hAnsi="宋体" w:eastAsia="宋体" w:cs="宋体"/>
          <w:b/>
          <w:bCs/>
          <w:highlight w:val="none"/>
        </w:rPr>
        <w:t>三、评审程序</w:t>
      </w:r>
    </w:p>
    <w:p w14:paraId="0B210007">
      <w:pPr>
        <w:pStyle w:val="42"/>
        <w:rPr>
          <w:rFonts w:hint="eastAsia" w:ascii="宋体" w:hAnsi="宋体" w:eastAsia="宋体" w:cs="宋体"/>
          <w:highlight w:val="none"/>
        </w:rPr>
      </w:pPr>
      <w:r>
        <w:rPr>
          <w:rFonts w:hint="eastAsia" w:ascii="宋体" w:hAnsi="宋体" w:eastAsia="宋体" w:cs="宋体"/>
          <w:highlight w:val="none"/>
        </w:rPr>
        <w:t>1、评审前由采购人首先开启供应商的响应文件，并当场进行记录；</w:t>
      </w:r>
    </w:p>
    <w:p w14:paraId="0C0ACC9D">
      <w:pPr>
        <w:pStyle w:val="42"/>
        <w:rPr>
          <w:rFonts w:hint="eastAsia" w:ascii="宋体" w:hAnsi="宋体" w:eastAsia="宋体" w:cs="宋体"/>
          <w:highlight w:val="none"/>
        </w:rPr>
      </w:pPr>
      <w:r>
        <w:rPr>
          <w:rFonts w:hint="eastAsia" w:ascii="宋体" w:hAnsi="宋体" w:eastAsia="宋体" w:cs="宋体"/>
          <w:highlight w:val="none"/>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2"/>
        <w:rPr>
          <w:rFonts w:hint="eastAsia" w:ascii="宋体" w:hAnsi="宋体" w:eastAsia="宋体" w:cs="宋体"/>
          <w:highlight w:val="none"/>
        </w:rPr>
      </w:pPr>
      <w:r>
        <w:rPr>
          <w:rFonts w:hint="eastAsia" w:ascii="宋体" w:hAnsi="宋体" w:eastAsia="宋体" w:cs="宋体"/>
          <w:highlight w:val="none"/>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2"/>
        <w:rPr>
          <w:rFonts w:hint="eastAsia" w:ascii="宋体" w:hAnsi="宋体" w:eastAsia="宋体" w:cs="宋体"/>
          <w:highlight w:val="none"/>
        </w:rPr>
      </w:pPr>
      <w:r>
        <w:rPr>
          <w:rFonts w:hint="eastAsia" w:ascii="宋体" w:hAnsi="宋体" w:eastAsia="宋体" w:cs="宋体"/>
          <w:highlight w:val="none"/>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2"/>
        <w:ind w:firstLine="482"/>
        <w:rPr>
          <w:rFonts w:hint="eastAsia" w:ascii="宋体" w:hAnsi="宋体" w:eastAsia="宋体" w:cs="宋体"/>
          <w:b/>
          <w:bCs/>
          <w:highlight w:val="none"/>
        </w:rPr>
      </w:pPr>
      <w:r>
        <w:rPr>
          <w:rFonts w:hint="eastAsia" w:ascii="宋体" w:hAnsi="宋体" w:eastAsia="宋体" w:cs="宋体"/>
          <w:b/>
          <w:bCs/>
          <w:highlight w:val="none"/>
        </w:rPr>
        <w:t>四、初步评审</w:t>
      </w:r>
    </w:p>
    <w:p w14:paraId="574C82EF">
      <w:pPr>
        <w:pStyle w:val="42"/>
        <w:rPr>
          <w:rFonts w:hint="eastAsia" w:ascii="宋体" w:hAnsi="宋体" w:eastAsia="宋体" w:cs="宋体"/>
          <w:highlight w:val="none"/>
        </w:rPr>
      </w:pPr>
      <w:r>
        <w:rPr>
          <w:rFonts w:hint="eastAsia" w:ascii="宋体" w:hAnsi="宋体" w:eastAsia="宋体" w:cs="宋体"/>
          <w:highlight w:val="none"/>
        </w:rPr>
        <w:t>响应文件开启后，磋商小组首先对响应文件依据磋商文件进行初步评审。</w:t>
      </w:r>
    </w:p>
    <w:p w14:paraId="2D47E0FE">
      <w:pPr>
        <w:pStyle w:val="42"/>
        <w:rPr>
          <w:rFonts w:hint="eastAsia" w:ascii="宋体" w:hAnsi="宋体" w:eastAsia="宋体" w:cs="宋体"/>
          <w:highlight w:val="none"/>
        </w:rPr>
      </w:pPr>
      <w:r>
        <w:rPr>
          <w:rFonts w:hint="eastAsia" w:ascii="宋体" w:hAnsi="宋体" w:eastAsia="宋体" w:cs="宋体"/>
          <w:highlight w:val="none"/>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2"/>
        <w:rPr>
          <w:rFonts w:hint="eastAsia" w:ascii="宋体" w:hAnsi="宋体" w:eastAsia="宋体" w:cs="宋体"/>
          <w:highlight w:val="none"/>
        </w:rPr>
      </w:pPr>
      <w:r>
        <w:rPr>
          <w:rFonts w:hint="eastAsia" w:ascii="宋体" w:hAnsi="宋体" w:eastAsia="宋体" w:cs="宋体"/>
          <w:highlight w:val="none"/>
        </w:rPr>
        <w:t xml:space="preserve">有下列情形之一的响应文件，由磋商小组按少数服从多数原则进行认定，经认定属实后将该响应文件作无效标处理，即该响应文件初步评审不通过： </w:t>
      </w:r>
    </w:p>
    <w:p w14:paraId="487453B5">
      <w:pPr>
        <w:pStyle w:val="42"/>
        <w:rPr>
          <w:rFonts w:hint="eastAsia" w:ascii="宋体" w:hAnsi="宋体" w:eastAsia="宋体" w:cs="宋体"/>
          <w:highlight w:val="none"/>
        </w:rPr>
      </w:pPr>
      <w:r>
        <w:rPr>
          <w:rFonts w:hint="eastAsia" w:ascii="宋体" w:hAnsi="宋体" w:eastAsia="宋体" w:cs="宋体"/>
          <w:highlight w:val="none"/>
        </w:rPr>
        <w:t>1）供应商的资格条件不满足竞争性磋商公告资格条件要求的；</w:t>
      </w:r>
    </w:p>
    <w:p w14:paraId="31BC28FC">
      <w:pPr>
        <w:pStyle w:val="42"/>
        <w:rPr>
          <w:rFonts w:hint="eastAsia" w:ascii="宋体" w:hAnsi="宋体" w:eastAsia="宋体" w:cs="宋体"/>
          <w:highlight w:val="none"/>
        </w:rPr>
      </w:pPr>
      <w:r>
        <w:rPr>
          <w:rFonts w:hint="eastAsia" w:ascii="宋体" w:hAnsi="宋体" w:eastAsia="宋体" w:cs="宋体"/>
          <w:highlight w:val="none"/>
        </w:rPr>
        <w:t>2）磋商响应文件未按磋商文件的要求加盖单位印章，或供应商的法定代表人（或其委托代理人）未按磋商文件要求签字或盖章的，或委托代理人签字盖章但无有效的委托授权书的；</w:t>
      </w:r>
    </w:p>
    <w:p w14:paraId="1A7D2A69">
      <w:pPr>
        <w:pStyle w:val="42"/>
        <w:rPr>
          <w:rFonts w:hint="eastAsia" w:ascii="宋体" w:hAnsi="宋体" w:eastAsia="宋体" w:cs="宋体"/>
          <w:highlight w:val="none"/>
        </w:rPr>
      </w:pPr>
      <w:r>
        <w:rPr>
          <w:rFonts w:hint="eastAsia" w:ascii="宋体" w:hAnsi="宋体" w:eastAsia="宋体" w:cs="宋体"/>
          <w:highlight w:val="none"/>
        </w:rPr>
        <w:t>3）磋商响应文件载明的招标项目完成期限不满足磋商文件规定的期限，或载明的质量目标达不到磋商文件要求的质量目标的；</w:t>
      </w:r>
    </w:p>
    <w:p w14:paraId="4ED0AFF9">
      <w:pPr>
        <w:pStyle w:val="42"/>
        <w:rPr>
          <w:rFonts w:hint="eastAsia" w:ascii="宋体" w:hAnsi="宋体" w:eastAsia="宋体" w:cs="宋体"/>
          <w:highlight w:val="none"/>
        </w:rPr>
      </w:pPr>
      <w:r>
        <w:rPr>
          <w:rFonts w:hint="eastAsia" w:ascii="宋体" w:hAnsi="宋体" w:eastAsia="宋体" w:cs="宋体"/>
          <w:highlight w:val="none"/>
        </w:rPr>
        <w:t>4）磋商报价超过磋商文件规定的预算金额或最高限价的；</w:t>
      </w:r>
    </w:p>
    <w:p w14:paraId="36FBB548">
      <w:pPr>
        <w:pStyle w:val="42"/>
        <w:rPr>
          <w:rFonts w:hint="eastAsia" w:ascii="宋体" w:hAnsi="宋体" w:eastAsia="宋体" w:cs="宋体"/>
          <w:highlight w:val="none"/>
        </w:rPr>
      </w:pPr>
      <w:r>
        <w:rPr>
          <w:rFonts w:hint="eastAsia" w:ascii="宋体" w:hAnsi="宋体" w:eastAsia="宋体" w:cs="宋体"/>
          <w:highlight w:val="none"/>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2"/>
        <w:rPr>
          <w:rFonts w:hint="eastAsia" w:ascii="宋体" w:hAnsi="宋体" w:eastAsia="宋体" w:cs="宋体"/>
          <w:highlight w:val="none"/>
        </w:rPr>
      </w:pPr>
      <w:r>
        <w:rPr>
          <w:rFonts w:hint="eastAsia" w:ascii="宋体" w:hAnsi="宋体" w:eastAsia="宋体" w:cs="宋体"/>
          <w:highlight w:val="none"/>
        </w:rPr>
        <w:t>6）供应商代表未能在所响应文件开启会议结束前参加会议或未能出示本人有效身份证原件的；或供应商的授权代表在响应文件开启会议结束前未能出示有效的授权书原件的；</w:t>
      </w:r>
    </w:p>
    <w:p w14:paraId="7C83073E">
      <w:pPr>
        <w:pStyle w:val="42"/>
        <w:rPr>
          <w:rFonts w:hint="eastAsia" w:ascii="宋体" w:hAnsi="宋体" w:eastAsia="宋体" w:cs="宋体"/>
          <w:highlight w:val="none"/>
        </w:rPr>
      </w:pPr>
      <w:r>
        <w:rPr>
          <w:rFonts w:hint="eastAsia" w:ascii="宋体" w:hAnsi="宋体" w:eastAsia="宋体" w:cs="宋体"/>
          <w:highlight w:val="none"/>
        </w:rPr>
        <w:t>7）报价等关键内容字迹模糊无法辨认的或内容不完整且不接受修正的；</w:t>
      </w:r>
    </w:p>
    <w:p w14:paraId="49B9C88A">
      <w:pPr>
        <w:pStyle w:val="42"/>
        <w:rPr>
          <w:rFonts w:hint="eastAsia" w:ascii="宋体" w:hAnsi="宋体" w:eastAsia="宋体" w:cs="宋体"/>
          <w:highlight w:val="none"/>
        </w:rPr>
      </w:pPr>
      <w:r>
        <w:rPr>
          <w:rFonts w:hint="eastAsia" w:ascii="宋体" w:hAnsi="宋体" w:eastAsia="宋体" w:cs="宋体"/>
          <w:highlight w:val="none"/>
        </w:rPr>
        <w:t>8）存在法律、法规、规章和磋商文件规定的其它无效标情况或经磋商小组认定有重大偏离的。</w:t>
      </w:r>
    </w:p>
    <w:p w14:paraId="774F2913">
      <w:pPr>
        <w:pStyle w:val="42"/>
        <w:rPr>
          <w:rFonts w:hint="eastAsia" w:ascii="宋体" w:hAnsi="宋体" w:eastAsia="宋体" w:cs="宋体"/>
          <w:highlight w:val="none"/>
        </w:rPr>
      </w:pPr>
      <w:r>
        <w:rPr>
          <w:rFonts w:hint="eastAsia" w:ascii="宋体" w:hAnsi="宋体" w:eastAsia="宋体" w:cs="宋体"/>
          <w:highlight w:val="none"/>
        </w:rPr>
        <w:t>9）存在串标、围标或弄虚作假情况的；</w:t>
      </w:r>
    </w:p>
    <w:p w14:paraId="32E7C107">
      <w:pPr>
        <w:pStyle w:val="42"/>
        <w:rPr>
          <w:rFonts w:hint="eastAsia" w:ascii="宋体" w:hAnsi="宋体" w:eastAsia="宋体" w:cs="宋体"/>
          <w:highlight w:val="none"/>
        </w:rPr>
      </w:pPr>
      <w:r>
        <w:rPr>
          <w:rFonts w:hint="eastAsia" w:ascii="宋体" w:hAnsi="宋体" w:eastAsia="宋体" w:cs="宋体"/>
          <w:highlight w:val="none"/>
        </w:rPr>
        <w:t>有下列情形之一的，视为供应商串通投标，其磋商响应无效：</w:t>
      </w:r>
    </w:p>
    <w:p w14:paraId="7FE4FE95">
      <w:pPr>
        <w:pStyle w:val="42"/>
        <w:rPr>
          <w:rFonts w:hint="eastAsia" w:ascii="宋体" w:hAnsi="宋体" w:eastAsia="宋体" w:cs="宋体"/>
          <w:highlight w:val="none"/>
        </w:rPr>
      </w:pPr>
      <w:r>
        <w:rPr>
          <w:rFonts w:hint="eastAsia" w:ascii="宋体" w:hAnsi="宋体" w:eastAsia="宋体" w:cs="宋体"/>
          <w:highlight w:val="none"/>
        </w:rPr>
        <w:t>（1）不同供应商的磋商响应文件由同一单位或者个人编制；</w:t>
      </w:r>
    </w:p>
    <w:p w14:paraId="0F07A08E">
      <w:pPr>
        <w:pStyle w:val="42"/>
        <w:rPr>
          <w:rFonts w:hint="eastAsia" w:ascii="宋体" w:hAnsi="宋体" w:eastAsia="宋体" w:cs="宋体"/>
          <w:highlight w:val="none"/>
        </w:rPr>
      </w:pPr>
      <w:r>
        <w:rPr>
          <w:rFonts w:hint="eastAsia" w:ascii="宋体" w:hAnsi="宋体" w:eastAsia="宋体" w:cs="宋体"/>
          <w:highlight w:val="none"/>
        </w:rPr>
        <w:t>（2）不同供应商委托同一单位或者个人办理投标事宜；</w:t>
      </w:r>
    </w:p>
    <w:p w14:paraId="32A715F8">
      <w:pPr>
        <w:pStyle w:val="42"/>
        <w:rPr>
          <w:rFonts w:hint="eastAsia" w:ascii="宋体" w:hAnsi="宋体" w:eastAsia="宋体" w:cs="宋体"/>
          <w:highlight w:val="none"/>
        </w:rPr>
      </w:pPr>
      <w:r>
        <w:rPr>
          <w:rFonts w:hint="eastAsia" w:ascii="宋体" w:hAnsi="宋体" w:eastAsia="宋体" w:cs="宋体"/>
          <w:highlight w:val="none"/>
        </w:rPr>
        <w:t>（3）不同供应商的磋商响应文件载明的项目管理成员或者联系人员为同一人；</w:t>
      </w:r>
    </w:p>
    <w:p w14:paraId="4F028F47">
      <w:pPr>
        <w:pStyle w:val="42"/>
        <w:rPr>
          <w:rFonts w:hint="eastAsia" w:ascii="宋体" w:hAnsi="宋体" w:eastAsia="宋体" w:cs="宋体"/>
          <w:highlight w:val="none"/>
        </w:rPr>
      </w:pPr>
      <w:r>
        <w:rPr>
          <w:rFonts w:hint="eastAsia" w:ascii="宋体" w:hAnsi="宋体" w:eastAsia="宋体" w:cs="宋体"/>
          <w:highlight w:val="none"/>
        </w:rPr>
        <w:t>（4）不同供应商的磋商响应文件异常一致或者磋商报价呈规律性差异；</w:t>
      </w:r>
    </w:p>
    <w:p w14:paraId="303F7BDF">
      <w:pPr>
        <w:pStyle w:val="42"/>
        <w:rPr>
          <w:rFonts w:hint="eastAsia" w:ascii="宋体" w:hAnsi="宋体" w:eastAsia="宋体" w:cs="宋体"/>
          <w:highlight w:val="none"/>
        </w:rPr>
      </w:pPr>
      <w:r>
        <w:rPr>
          <w:rFonts w:hint="eastAsia" w:ascii="宋体" w:hAnsi="宋体" w:eastAsia="宋体" w:cs="宋体"/>
          <w:highlight w:val="none"/>
        </w:rPr>
        <w:t>（5）不同供应商的磋商响应文件相互混装。</w:t>
      </w:r>
    </w:p>
    <w:p w14:paraId="0E7FF521">
      <w:pPr>
        <w:pStyle w:val="42"/>
        <w:ind w:firstLine="482"/>
        <w:rPr>
          <w:rFonts w:hint="eastAsia" w:ascii="宋体" w:hAnsi="宋体" w:eastAsia="宋体" w:cs="宋体"/>
          <w:b/>
          <w:bCs/>
          <w:highlight w:val="none"/>
        </w:rPr>
      </w:pPr>
      <w:r>
        <w:rPr>
          <w:rFonts w:hint="eastAsia" w:ascii="宋体" w:hAnsi="宋体" w:eastAsia="宋体" w:cs="宋体"/>
          <w:b/>
          <w:bCs/>
          <w:highlight w:val="none"/>
        </w:rPr>
        <w:t>五、详细评审</w:t>
      </w:r>
    </w:p>
    <w:bookmarkEnd w:id="7"/>
    <w:bookmarkEnd w:id="8"/>
    <w:p w14:paraId="5DEBA1AB">
      <w:pPr>
        <w:snapToGrid w:val="0"/>
        <w:spacing w:line="360" w:lineRule="auto"/>
        <w:ind w:firstLine="482" w:firstLineChars="200"/>
        <w:rPr>
          <w:rFonts w:hint="eastAsia" w:ascii="宋体" w:hAnsi="宋体" w:eastAsia="宋体" w:cs="宋体"/>
          <w:b/>
          <w:bCs/>
          <w:color w:val="000000"/>
          <w:sz w:val="24"/>
          <w:szCs w:val="24"/>
          <w:highlight w:val="none"/>
        </w:rPr>
      </w:pPr>
      <w:bookmarkStart w:id="11" w:name="_Toc345320402"/>
      <w:bookmarkStart w:id="12" w:name="_Toc118516218"/>
      <w:bookmarkStart w:id="13" w:name="_Toc171394922"/>
      <w:r>
        <w:rPr>
          <w:rFonts w:hint="eastAsia" w:ascii="宋体" w:hAnsi="宋体" w:eastAsia="宋体" w:cs="宋体"/>
          <w:b/>
          <w:bCs/>
          <w:color w:val="000000"/>
          <w:sz w:val="24"/>
          <w:szCs w:val="24"/>
          <w:highlight w:val="none"/>
        </w:rPr>
        <w:t>1、商务技术分</w:t>
      </w:r>
      <w:bookmarkEnd w:id="11"/>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val="en-US" w:eastAsia="zh-CN"/>
        </w:rPr>
        <w:t>70</w:t>
      </w:r>
      <w:r>
        <w:rPr>
          <w:rFonts w:hint="eastAsia" w:ascii="宋体" w:hAnsi="宋体" w:eastAsia="宋体" w:cs="宋体"/>
          <w:b/>
          <w:bCs/>
          <w:color w:val="000000"/>
          <w:sz w:val="24"/>
          <w:szCs w:val="24"/>
          <w:highlight w:val="none"/>
        </w:rPr>
        <w:t>分）</w:t>
      </w:r>
    </w:p>
    <w:p w14:paraId="33A5FD2E">
      <w:pPr>
        <w:snapToGrid w:val="0"/>
        <w:spacing w:line="360" w:lineRule="auto"/>
        <w:ind w:firstLine="480" w:firstLineChars="200"/>
        <w:rPr>
          <w:rFonts w:hint="eastAsia" w:ascii="宋体" w:hAnsi="宋体" w:eastAsia="宋体" w:cs="宋体"/>
          <w:color w:val="000000"/>
          <w:sz w:val="24"/>
          <w:szCs w:val="24"/>
          <w:highlight w:val="none"/>
        </w:rPr>
      </w:pPr>
      <w:bookmarkStart w:id="14" w:name="_Toc345320401"/>
      <w:r>
        <w:rPr>
          <w:rFonts w:hint="eastAsia" w:ascii="宋体" w:hAnsi="宋体" w:eastAsia="宋体" w:cs="宋体"/>
          <w:color w:val="000000"/>
          <w:sz w:val="24"/>
          <w:szCs w:val="24"/>
          <w:highlight w:val="none"/>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小数点后保留二位小数，第三位四舍五入）。</w:t>
      </w:r>
    </w:p>
    <w:tbl>
      <w:tblPr>
        <w:tblStyle w:val="33"/>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一、资信及商务评审因素（</w:t>
            </w:r>
            <w:r>
              <w:rPr>
                <w:rFonts w:hint="eastAsia" w:ascii="宋体" w:hAnsi="宋体" w:eastAsia="宋体" w:cs="宋体"/>
                <w:b/>
                <w:bCs/>
                <w:snapToGrid/>
                <w:szCs w:val="21"/>
                <w:lang w:val="en-US" w:eastAsia="zh-CN"/>
              </w:rPr>
              <w:t>25</w:t>
            </w:r>
            <w:r>
              <w:rPr>
                <w:rFonts w:hint="eastAsia" w:ascii="宋体" w:hAnsi="宋体" w:eastAsia="宋体" w:cs="宋体"/>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资信情况</w:t>
            </w:r>
          </w:p>
        </w:tc>
        <w:tc>
          <w:tcPr>
            <w:tcW w:w="6385" w:type="dxa"/>
            <w:tcBorders>
              <w:tl2br w:val="nil"/>
              <w:tr2bl w:val="nil"/>
            </w:tcBorders>
            <w:noWrap/>
            <w:vAlign w:val="center"/>
          </w:tcPr>
          <w:p w14:paraId="60BC429B">
            <w:pPr>
              <w:snapToGrid w:val="0"/>
              <w:rPr>
                <w:rFonts w:hint="eastAsia" w:ascii="宋体" w:hAnsi="宋体" w:eastAsia="宋体" w:cs="宋体"/>
                <w:bCs/>
                <w:snapToGrid/>
                <w:szCs w:val="21"/>
              </w:rPr>
            </w:pPr>
            <w:r>
              <w:rPr>
                <w:rFonts w:hint="eastAsia" w:ascii="宋体" w:hAnsi="宋体" w:eastAsia="宋体" w:cs="宋体"/>
                <w:bCs/>
                <w:snapToGrid/>
                <w:szCs w:val="21"/>
              </w:rPr>
              <w:t>根据投标</w:t>
            </w:r>
            <w:r>
              <w:rPr>
                <w:rFonts w:hint="eastAsia" w:ascii="宋体" w:hAnsi="宋体" w:cs="宋体"/>
                <w:bCs/>
                <w:snapToGrid/>
                <w:szCs w:val="21"/>
                <w:lang w:val="en-US" w:eastAsia="zh-CN"/>
              </w:rPr>
              <w:t>人</w:t>
            </w:r>
            <w:r>
              <w:rPr>
                <w:rFonts w:hint="eastAsia" w:ascii="宋体" w:hAnsi="宋体" w:eastAsia="宋体" w:cs="宋体"/>
                <w:bCs/>
                <w:snapToGrid/>
                <w:szCs w:val="21"/>
              </w:rPr>
              <w:t>提供的资信材料横向比较</w:t>
            </w:r>
          </w:p>
        </w:tc>
        <w:tc>
          <w:tcPr>
            <w:tcW w:w="1001" w:type="dxa"/>
            <w:tcBorders>
              <w:tl2br w:val="nil"/>
              <w:tr2bl w:val="nil"/>
            </w:tcBorders>
            <w:noWrap/>
            <w:vAlign w:val="center"/>
          </w:tcPr>
          <w:p w14:paraId="31542D78">
            <w:pPr>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0-10</w:t>
            </w:r>
            <w:r>
              <w:rPr>
                <w:rFonts w:hint="eastAsia" w:ascii="宋体" w:hAnsi="宋体" w:eastAsia="宋体" w:cs="宋体"/>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86" w:type="dxa"/>
            <w:tcBorders>
              <w:tl2br w:val="nil"/>
              <w:tr2bl w:val="nil"/>
            </w:tcBorders>
            <w:noWrap/>
            <w:vAlign w:val="center"/>
          </w:tcPr>
          <w:p w14:paraId="7A989D01">
            <w:pPr>
              <w:snapToGrid w:val="0"/>
              <w:jc w:val="left"/>
              <w:rPr>
                <w:rFonts w:hint="eastAsia" w:ascii="宋体" w:hAnsi="宋体" w:eastAsia="宋体" w:cs="宋体"/>
                <w:bCs/>
                <w:snapToGrid/>
                <w:szCs w:val="21"/>
              </w:rPr>
            </w:pPr>
            <w:r>
              <w:rPr>
                <w:rFonts w:hint="eastAsia" w:ascii="宋体" w:hAnsi="宋体" w:eastAsia="宋体" w:cs="宋体"/>
                <w:bCs/>
                <w:snapToGrid/>
                <w:szCs w:val="21"/>
              </w:rPr>
              <w:t>类似业绩</w:t>
            </w:r>
          </w:p>
        </w:tc>
        <w:tc>
          <w:tcPr>
            <w:tcW w:w="6385" w:type="dxa"/>
            <w:tcBorders>
              <w:tl2br w:val="nil"/>
              <w:tr2bl w:val="nil"/>
            </w:tcBorders>
            <w:noWrap/>
            <w:vAlign w:val="center"/>
          </w:tcPr>
          <w:p w14:paraId="334B689B">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eastAsia="zh-CN"/>
              </w:rPr>
              <w:t>投标人自202</w:t>
            </w:r>
            <w:r>
              <w:rPr>
                <w:rFonts w:hint="eastAsia" w:ascii="宋体" w:hAnsi="宋体" w:eastAsia="宋体" w:cs="宋体"/>
                <w:bCs/>
                <w:snapToGrid/>
                <w:szCs w:val="21"/>
                <w:lang w:val="en-US" w:eastAsia="zh-CN"/>
              </w:rPr>
              <w:t>2</w:t>
            </w:r>
            <w:r>
              <w:rPr>
                <w:rFonts w:hint="eastAsia" w:ascii="宋体" w:hAnsi="宋体" w:eastAsia="宋体" w:cs="宋体"/>
                <w:bCs/>
                <w:snapToGrid/>
                <w:szCs w:val="21"/>
                <w:lang w:eastAsia="zh-CN"/>
              </w:rPr>
              <w:t>年</w:t>
            </w:r>
            <w:r>
              <w:rPr>
                <w:rFonts w:hint="eastAsia" w:ascii="宋体" w:hAnsi="宋体" w:cs="宋体"/>
                <w:bCs/>
                <w:snapToGrid/>
                <w:szCs w:val="21"/>
                <w:lang w:val="en-US" w:eastAsia="zh-CN"/>
              </w:rPr>
              <w:t>1</w:t>
            </w:r>
            <w:r>
              <w:rPr>
                <w:rFonts w:hint="eastAsia" w:ascii="宋体" w:hAnsi="宋体" w:eastAsia="宋体" w:cs="宋体"/>
                <w:bCs/>
                <w:snapToGrid/>
                <w:szCs w:val="21"/>
                <w:lang w:eastAsia="zh-CN"/>
              </w:rPr>
              <w:t>月1日（以合同签订时间为准）以来近</w:t>
            </w:r>
            <w:r>
              <w:rPr>
                <w:rFonts w:hint="eastAsia" w:ascii="宋体" w:hAnsi="宋体" w:eastAsia="宋体" w:cs="宋体"/>
                <w:bCs/>
                <w:snapToGrid/>
                <w:szCs w:val="21"/>
                <w:lang w:val="en-US" w:eastAsia="zh-CN"/>
              </w:rPr>
              <w:t>3</w:t>
            </w:r>
            <w:r>
              <w:rPr>
                <w:rFonts w:hint="eastAsia" w:ascii="宋体" w:hAnsi="宋体" w:eastAsia="宋体" w:cs="宋体"/>
                <w:bCs/>
                <w:snapToGrid/>
                <w:szCs w:val="21"/>
                <w:lang w:eastAsia="zh-CN"/>
              </w:rPr>
              <w:t>年具有三乙以及以上综合性医院</w:t>
            </w:r>
            <w:r>
              <w:rPr>
                <w:rFonts w:hint="eastAsia" w:ascii="宋体" w:hAnsi="宋体" w:cs="宋体"/>
                <w:bCs/>
                <w:snapToGrid/>
                <w:szCs w:val="21"/>
                <w:lang w:eastAsia="zh-CN"/>
              </w:rPr>
              <w:t>（要求提供医院等级证明材料）</w:t>
            </w:r>
            <w:r>
              <w:rPr>
                <w:rFonts w:hint="eastAsia" w:ascii="宋体" w:hAnsi="宋体" w:cs="宋体"/>
                <w:bCs/>
                <w:snapToGrid/>
                <w:szCs w:val="21"/>
                <w:lang w:val="en-US" w:eastAsia="zh-CN"/>
              </w:rPr>
              <w:t>病媒生物防制</w:t>
            </w:r>
            <w:r>
              <w:rPr>
                <w:rFonts w:hint="eastAsia" w:ascii="宋体" w:hAnsi="宋体" w:eastAsia="宋体" w:cs="宋体"/>
                <w:bCs/>
                <w:snapToGrid/>
                <w:szCs w:val="21"/>
                <w:lang w:eastAsia="zh-CN"/>
              </w:rPr>
              <w:t>业绩的每提供1份合同业绩得</w:t>
            </w:r>
            <w:r>
              <w:rPr>
                <w:rFonts w:hint="eastAsia" w:ascii="宋体" w:hAnsi="宋体" w:cs="宋体"/>
                <w:bCs/>
                <w:snapToGrid/>
                <w:szCs w:val="21"/>
                <w:lang w:val="en-US" w:eastAsia="zh-CN"/>
              </w:rPr>
              <w:t>5</w:t>
            </w:r>
            <w:r>
              <w:rPr>
                <w:rFonts w:hint="eastAsia" w:ascii="宋体" w:hAnsi="宋体" w:eastAsia="宋体" w:cs="宋体"/>
                <w:bCs/>
                <w:snapToGrid/>
                <w:szCs w:val="21"/>
                <w:lang w:eastAsia="zh-CN"/>
              </w:rPr>
              <w:t>分，最高得</w:t>
            </w:r>
            <w:r>
              <w:rPr>
                <w:rFonts w:hint="eastAsia" w:ascii="宋体" w:hAnsi="宋体" w:cs="宋体"/>
                <w:bCs/>
                <w:snapToGrid/>
                <w:szCs w:val="21"/>
                <w:lang w:val="en-US" w:eastAsia="zh-CN"/>
              </w:rPr>
              <w:t>15</w:t>
            </w:r>
            <w:r>
              <w:rPr>
                <w:rFonts w:hint="eastAsia" w:ascii="宋体" w:hAnsi="宋体" w:eastAsia="宋体" w:cs="宋体"/>
                <w:bCs/>
                <w:snapToGrid/>
                <w:szCs w:val="21"/>
                <w:lang w:eastAsia="zh-CN"/>
              </w:rPr>
              <w:t>分。</w:t>
            </w:r>
          </w:p>
          <w:p w14:paraId="0149BA34">
            <w:pPr>
              <w:snapToGrid w:val="0"/>
              <w:rPr>
                <w:rFonts w:hint="eastAsia" w:ascii="宋体" w:hAnsi="宋体" w:eastAsia="宋体" w:cs="宋体"/>
                <w:bCs/>
                <w:snapToGrid/>
                <w:szCs w:val="21"/>
              </w:rPr>
            </w:pPr>
            <w:r>
              <w:rPr>
                <w:rFonts w:hint="eastAsia" w:ascii="宋体" w:hAnsi="宋体" w:eastAsia="宋体" w:cs="宋体"/>
                <w:bCs/>
                <w:snapToGrid/>
                <w:szCs w:val="21"/>
                <w:lang w:eastAsia="zh-CN"/>
              </w:rPr>
              <w:t>注：</w:t>
            </w:r>
            <w:r>
              <w:rPr>
                <w:rFonts w:hint="eastAsia" w:ascii="宋体" w:hAnsi="宋体" w:eastAsia="宋体" w:cs="宋体"/>
                <w:bCs/>
                <w:snapToGrid/>
                <w:szCs w:val="21"/>
              </w:rPr>
              <w:t>提供</w:t>
            </w:r>
            <w:r>
              <w:rPr>
                <w:rFonts w:hint="eastAsia" w:ascii="宋体" w:hAnsi="宋体" w:eastAsia="宋体" w:cs="宋体"/>
                <w:bCs/>
                <w:snapToGrid/>
                <w:szCs w:val="21"/>
                <w:lang w:eastAsia="zh-CN"/>
              </w:rPr>
              <w:t>合同</w:t>
            </w:r>
            <w:r>
              <w:rPr>
                <w:rFonts w:hint="eastAsia" w:ascii="宋体" w:hAnsi="宋体" w:eastAsia="宋体" w:cs="宋体"/>
                <w:bCs/>
                <w:snapToGrid/>
                <w:szCs w:val="21"/>
              </w:rPr>
              <w:t>复印件</w:t>
            </w:r>
            <w:r>
              <w:rPr>
                <w:rFonts w:hint="eastAsia" w:ascii="宋体" w:hAnsi="宋体" w:eastAsia="宋体" w:cs="宋体"/>
                <w:bCs/>
                <w:snapToGrid/>
                <w:szCs w:val="21"/>
                <w:lang w:eastAsia="zh-CN"/>
              </w:rPr>
              <w:t>并</w:t>
            </w:r>
            <w:r>
              <w:rPr>
                <w:rFonts w:hint="eastAsia" w:ascii="宋体" w:hAnsi="宋体" w:eastAsia="宋体" w:cs="宋体"/>
                <w:bCs/>
                <w:snapToGrid/>
                <w:szCs w:val="21"/>
              </w:rPr>
              <w:t>加盖</w:t>
            </w:r>
            <w:r>
              <w:rPr>
                <w:rFonts w:hint="eastAsia" w:ascii="宋体" w:hAnsi="宋体" w:eastAsia="宋体" w:cs="宋体"/>
                <w:bCs/>
                <w:snapToGrid/>
                <w:szCs w:val="21"/>
                <w:lang w:eastAsia="zh-CN"/>
              </w:rPr>
              <w:t>单位</w:t>
            </w:r>
            <w:r>
              <w:rPr>
                <w:rFonts w:hint="eastAsia" w:ascii="宋体" w:hAnsi="宋体" w:eastAsia="宋体" w:cs="宋体"/>
                <w:bCs/>
                <w:snapToGrid/>
                <w:szCs w:val="21"/>
              </w:rPr>
              <w:t>公章</w:t>
            </w:r>
            <w:r>
              <w:rPr>
                <w:rFonts w:hint="eastAsia" w:ascii="宋体" w:hAnsi="宋体" w:eastAsia="宋体" w:cs="宋体"/>
                <w:bCs/>
                <w:snapToGrid/>
                <w:szCs w:val="21"/>
                <w:lang w:eastAsia="zh-CN"/>
              </w:rPr>
              <w:t>，未提供不得分。</w:t>
            </w:r>
          </w:p>
        </w:tc>
        <w:tc>
          <w:tcPr>
            <w:tcW w:w="1001" w:type="dxa"/>
            <w:tcBorders>
              <w:tl2br w:val="nil"/>
              <w:tr2bl w:val="nil"/>
            </w:tcBorders>
            <w:noWrap/>
            <w:vAlign w:val="center"/>
          </w:tcPr>
          <w:p w14:paraId="7204CE1C">
            <w:pPr>
              <w:adjustRightInd w:val="0"/>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0-15</w:t>
            </w:r>
            <w:r>
              <w:rPr>
                <w:rFonts w:hint="eastAsia" w:ascii="宋体" w:hAnsi="宋体" w:eastAsia="宋体" w:cs="宋体"/>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二、技术评审因素（</w:t>
            </w:r>
            <w:r>
              <w:rPr>
                <w:rFonts w:hint="eastAsia" w:ascii="宋体" w:hAnsi="宋体" w:cs="宋体"/>
                <w:b/>
                <w:bCs/>
                <w:snapToGrid/>
                <w:szCs w:val="21"/>
                <w:lang w:val="en-US" w:eastAsia="zh-CN"/>
              </w:rPr>
              <w:t>45</w:t>
            </w:r>
            <w:r>
              <w:rPr>
                <w:rFonts w:hint="eastAsia" w:ascii="宋体" w:hAnsi="宋体" w:eastAsia="宋体" w:cs="宋体"/>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686" w:type="dxa"/>
            <w:tcBorders>
              <w:tl2br w:val="nil"/>
              <w:tr2bl w:val="nil"/>
            </w:tcBorders>
            <w:noWrap/>
            <w:vAlign w:val="center"/>
          </w:tcPr>
          <w:p w14:paraId="40EB909B">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val="en-US" w:eastAsia="zh-CN"/>
              </w:rPr>
              <w:t>管理和</w:t>
            </w:r>
            <w:r>
              <w:rPr>
                <w:rFonts w:hint="eastAsia" w:ascii="宋体" w:hAnsi="宋体" w:cs="宋体"/>
                <w:bCs/>
                <w:snapToGrid/>
                <w:szCs w:val="21"/>
                <w:lang w:val="en-US" w:eastAsia="zh-CN"/>
              </w:rPr>
              <w:t>实施</w:t>
            </w:r>
            <w:r>
              <w:rPr>
                <w:rFonts w:hint="eastAsia" w:ascii="宋体" w:hAnsi="宋体" w:eastAsia="宋体" w:cs="宋体"/>
                <w:bCs/>
                <w:snapToGrid/>
                <w:szCs w:val="21"/>
                <w:lang w:eastAsia="zh-CN"/>
              </w:rPr>
              <w:t>方案</w:t>
            </w:r>
          </w:p>
        </w:tc>
        <w:tc>
          <w:tcPr>
            <w:tcW w:w="6385" w:type="dxa"/>
            <w:tcBorders>
              <w:tl2br w:val="nil"/>
              <w:tr2bl w:val="nil"/>
            </w:tcBorders>
            <w:noWrap/>
            <w:vAlign w:val="center"/>
          </w:tcPr>
          <w:p w14:paraId="2817632D">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eastAsia="zh-CN"/>
              </w:rPr>
              <w:t>根据</w:t>
            </w:r>
            <w:r>
              <w:rPr>
                <w:rFonts w:hint="eastAsia" w:ascii="宋体" w:hAnsi="宋体" w:eastAsia="宋体" w:cs="宋体"/>
                <w:bCs/>
                <w:snapToGrid/>
                <w:szCs w:val="21"/>
                <w:lang w:val="en-US" w:eastAsia="zh-CN"/>
              </w:rPr>
              <w:t>投标人</w:t>
            </w:r>
            <w:r>
              <w:rPr>
                <w:rFonts w:hint="eastAsia" w:ascii="宋体" w:hAnsi="宋体" w:eastAsia="宋体" w:cs="宋体"/>
                <w:bCs/>
                <w:snapToGrid/>
                <w:szCs w:val="21"/>
                <w:lang w:eastAsia="zh-CN"/>
              </w:rPr>
              <w:t>提供的针对本项目</w:t>
            </w:r>
            <w:r>
              <w:rPr>
                <w:rFonts w:hint="eastAsia" w:ascii="宋体" w:hAnsi="宋体" w:eastAsia="宋体" w:cs="宋体"/>
                <w:bCs/>
                <w:snapToGrid/>
                <w:szCs w:val="21"/>
                <w:lang w:val="en-US" w:eastAsia="zh-CN"/>
              </w:rPr>
              <w:t>管理和</w:t>
            </w:r>
            <w:r>
              <w:rPr>
                <w:rFonts w:hint="eastAsia" w:ascii="宋体" w:hAnsi="宋体" w:eastAsia="宋体" w:cs="宋体"/>
                <w:bCs/>
                <w:snapToGrid/>
                <w:szCs w:val="21"/>
                <w:lang w:eastAsia="zh-CN"/>
              </w:rPr>
              <w:t>方案，包括</w:t>
            </w:r>
            <w:r>
              <w:rPr>
                <w:rFonts w:hint="eastAsia" w:ascii="宋体" w:hAnsi="宋体" w:eastAsia="宋体" w:cs="宋体"/>
                <w:bCs/>
                <w:snapToGrid/>
                <w:szCs w:val="21"/>
                <w:lang w:val="en-US" w:eastAsia="zh-CN"/>
              </w:rPr>
              <w:t>病媒生物防制</w:t>
            </w:r>
            <w:r>
              <w:rPr>
                <w:rFonts w:hint="eastAsia" w:ascii="宋体" w:hAnsi="宋体" w:eastAsia="宋体" w:cs="宋体"/>
                <w:bCs/>
                <w:snapToGrid/>
                <w:szCs w:val="21"/>
                <w:lang w:eastAsia="zh-CN"/>
              </w:rPr>
              <w:t>方案是否科学合理、具有可行性，使用的药械是否先进、环保、符合国家规定</w:t>
            </w:r>
            <w:r>
              <w:rPr>
                <w:rFonts w:hint="eastAsia" w:ascii="宋体" w:hAnsi="宋体" w:eastAsia="宋体" w:cs="宋体"/>
                <w:bCs/>
                <w:snapToGrid/>
                <w:szCs w:val="21"/>
                <w:lang w:val="en-US" w:eastAsia="zh-CN"/>
              </w:rPr>
              <w:t>等，</w:t>
            </w:r>
            <w:r>
              <w:rPr>
                <w:rFonts w:hint="eastAsia" w:ascii="宋体" w:hAnsi="宋体" w:eastAsia="宋体" w:cs="宋体"/>
                <w:bCs/>
                <w:snapToGrid/>
                <w:szCs w:val="21"/>
                <w:lang w:eastAsia="zh-CN"/>
              </w:rPr>
              <w:t>得</w:t>
            </w:r>
            <w:r>
              <w:rPr>
                <w:rFonts w:hint="eastAsia" w:ascii="宋体" w:hAnsi="宋体" w:eastAsia="宋体" w:cs="宋体"/>
                <w:bCs/>
                <w:snapToGrid/>
                <w:szCs w:val="21"/>
                <w:lang w:val="en-US" w:eastAsia="zh-CN"/>
              </w:rPr>
              <w:t>1-15</w:t>
            </w:r>
            <w:r>
              <w:rPr>
                <w:rFonts w:hint="eastAsia" w:ascii="宋体" w:hAnsi="宋体" w:eastAsia="宋体" w:cs="宋体"/>
                <w:bCs/>
                <w:snapToGrid/>
                <w:szCs w:val="21"/>
                <w:lang w:eastAsia="zh-CN"/>
              </w:rPr>
              <w:t>分。</w:t>
            </w:r>
          </w:p>
        </w:tc>
        <w:tc>
          <w:tcPr>
            <w:tcW w:w="1001" w:type="dxa"/>
            <w:tcBorders>
              <w:tl2br w:val="nil"/>
              <w:tr2bl w:val="nil"/>
            </w:tcBorders>
            <w:noWrap/>
            <w:vAlign w:val="center"/>
          </w:tcPr>
          <w:p w14:paraId="24447929">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val="en-US" w:eastAsia="zh-CN"/>
              </w:rPr>
              <w:t>1-15</w:t>
            </w:r>
            <w:r>
              <w:rPr>
                <w:rFonts w:hint="eastAsia" w:ascii="宋体" w:hAnsi="宋体" w:eastAsia="宋体" w:cs="宋体"/>
                <w:bCs/>
                <w:snapToGrid/>
                <w:szCs w:val="21"/>
                <w:lang w:eastAsia="zh-CN"/>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86" w:type="dxa"/>
            <w:tcBorders>
              <w:tl2br w:val="nil"/>
              <w:tr2bl w:val="nil"/>
            </w:tcBorders>
            <w:shd w:val="clear" w:color="auto" w:fill="auto"/>
            <w:noWrap/>
            <w:vAlign w:val="center"/>
          </w:tcPr>
          <w:p w14:paraId="792B0EC4">
            <w:pPr>
              <w:snapToGrid w:val="0"/>
              <w:rPr>
                <w:rFonts w:hint="default" w:ascii="宋体" w:hAnsi="宋体" w:eastAsia="宋体" w:cs="宋体"/>
                <w:bCs/>
                <w:snapToGrid/>
                <w:szCs w:val="21"/>
                <w:lang w:val="en-US" w:eastAsia="zh-CN"/>
              </w:rPr>
            </w:pPr>
            <w:r>
              <w:rPr>
                <w:rFonts w:hint="eastAsia" w:ascii="宋体" w:hAnsi="宋体" w:cs="宋体"/>
                <w:bCs/>
                <w:snapToGrid/>
                <w:szCs w:val="21"/>
                <w:lang w:val="en-US" w:eastAsia="zh-CN"/>
              </w:rPr>
              <w:t>专业设施和</w:t>
            </w:r>
            <w:r>
              <w:rPr>
                <w:rFonts w:hint="eastAsia" w:ascii="宋体" w:hAnsi="宋体" w:eastAsia="宋体" w:cs="宋体"/>
                <w:bCs/>
                <w:snapToGrid/>
                <w:szCs w:val="21"/>
                <w:lang w:eastAsia="zh-CN"/>
              </w:rPr>
              <w:t>人员配备</w:t>
            </w:r>
          </w:p>
        </w:tc>
        <w:tc>
          <w:tcPr>
            <w:tcW w:w="6385" w:type="dxa"/>
            <w:tcBorders>
              <w:tl2br w:val="nil"/>
              <w:tr2bl w:val="nil"/>
            </w:tcBorders>
            <w:shd w:val="clear" w:color="auto" w:fill="auto"/>
            <w:noWrap/>
            <w:vAlign w:val="center"/>
          </w:tcPr>
          <w:p w14:paraId="29CB05FE">
            <w:pPr>
              <w:snapToGrid w:val="0"/>
              <w:rPr>
                <w:rFonts w:hint="eastAsia" w:ascii="宋体" w:hAnsi="宋体" w:cs="宋体"/>
                <w:bCs/>
                <w:snapToGrid/>
                <w:szCs w:val="21"/>
                <w:lang w:val="en-US" w:eastAsia="zh-CN"/>
              </w:rPr>
            </w:pPr>
            <w:r>
              <w:rPr>
                <w:rFonts w:hint="eastAsia" w:ascii="宋体" w:hAnsi="宋体" w:eastAsia="宋体" w:cs="宋体"/>
                <w:bCs/>
                <w:snapToGrid/>
                <w:szCs w:val="21"/>
                <w:lang w:eastAsia="zh-CN"/>
              </w:rPr>
              <w:t>根据</w:t>
            </w:r>
            <w:r>
              <w:rPr>
                <w:rFonts w:hint="eastAsia" w:ascii="宋体" w:hAnsi="宋体" w:eastAsia="宋体" w:cs="宋体"/>
                <w:bCs/>
                <w:snapToGrid/>
                <w:szCs w:val="21"/>
                <w:lang w:val="en-US" w:eastAsia="zh-CN"/>
              </w:rPr>
              <w:t>投标人</w:t>
            </w:r>
            <w:r>
              <w:rPr>
                <w:rFonts w:hint="eastAsia" w:ascii="宋体" w:hAnsi="宋体" w:eastAsia="宋体" w:cs="宋体"/>
                <w:bCs/>
                <w:snapToGrid/>
                <w:szCs w:val="21"/>
                <w:lang w:eastAsia="zh-CN"/>
              </w:rPr>
              <w:t>提供的针对本项目</w:t>
            </w:r>
            <w:r>
              <w:rPr>
                <w:rFonts w:hint="eastAsia" w:ascii="宋体" w:hAnsi="宋体" w:cs="宋体"/>
                <w:bCs/>
                <w:snapToGrid/>
                <w:szCs w:val="21"/>
                <w:lang w:val="en-US" w:eastAsia="zh-CN"/>
              </w:rPr>
              <w:t>专业设施设备横向比较，如专业处理四害的设施设备等，得1-6分；</w:t>
            </w:r>
          </w:p>
          <w:p w14:paraId="03E26E4B">
            <w:pPr>
              <w:snapToGrid w:val="0"/>
              <w:rPr>
                <w:rFonts w:hint="default" w:ascii="宋体" w:hAnsi="宋体" w:eastAsia="宋体" w:cs="宋体"/>
                <w:bCs/>
                <w:snapToGrid/>
                <w:szCs w:val="21"/>
                <w:lang w:val="en-US" w:eastAsia="zh-CN"/>
              </w:rPr>
            </w:pPr>
            <w:r>
              <w:rPr>
                <w:rFonts w:hint="eastAsia" w:ascii="宋体" w:hAnsi="宋体" w:cs="宋体"/>
                <w:bCs/>
                <w:snapToGrid/>
                <w:szCs w:val="21"/>
                <w:lang w:val="en-US" w:eastAsia="zh-CN"/>
              </w:rPr>
              <w:t>根据投标人提供的针对本项目的</w:t>
            </w:r>
            <w:r>
              <w:rPr>
                <w:rFonts w:hint="eastAsia" w:ascii="宋体" w:hAnsi="宋体" w:eastAsia="宋体" w:cs="宋体"/>
                <w:bCs/>
                <w:snapToGrid/>
                <w:szCs w:val="21"/>
                <w:lang w:val="en-US" w:eastAsia="zh-CN"/>
              </w:rPr>
              <w:t>人员配备</w:t>
            </w:r>
            <w:r>
              <w:rPr>
                <w:rFonts w:hint="eastAsia" w:ascii="宋体" w:hAnsi="宋体" w:cs="宋体"/>
                <w:bCs/>
                <w:snapToGrid/>
                <w:szCs w:val="21"/>
                <w:lang w:val="en-US" w:eastAsia="zh-CN"/>
              </w:rPr>
              <w:t>横向比较</w:t>
            </w:r>
            <w:r>
              <w:rPr>
                <w:rFonts w:hint="eastAsia" w:ascii="宋体" w:hAnsi="宋体" w:eastAsia="宋体" w:cs="宋体"/>
                <w:bCs/>
                <w:snapToGrid/>
                <w:szCs w:val="21"/>
                <w:lang w:val="en-US" w:eastAsia="zh-CN"/>
              </w:rPr>
              <w:t>，</w:t>
            </w:r>
            <w:r>
              <w:rPr>
                <w:rFonts w:hint="eastAsia" w:ascii="宋体" w:hAnsi="宋体" w:cs="宋体"/>
                <w:bCs/>
                <w:snapToGrid/>
                <w:szCs w:val="21"/>
                <w:lang w:val="en-US" w:eastAsia="zh-CN"/>
              </w:rPr>
              <w:t>如人员资历等</w:t>
            </w:r>
            <w:r>
              <w:rPr>
                <w:rFonts w:hint="eastAsia" w:ascii="宋体" w:hAnsi="宋体" w:eastAsia="宋体" w:cs="宋体"/>
                <w:bCs/>
                <w:snapToGrid/>
                <w:szCs w:val="21"/>
                <w:lang w:val="en-US" w:eastAsia="zh-CN"/>
              </w:rPr>
              <w:t>得1-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r>
              <w:rPr>
                <w:rFonts w:hint="eastAsia" w:ascii="宋体" w:hAnsi="宋体" w:cs="宋体"/>
                <w:bCs/>
                <w:snapToGrid/>
                <w:szCs w:val="21"/>
                <w:lang w:val="en-US" w:eastAsia="zh-CN"/>
              </w:rPr>
              <w:t>。</w:t>
            </w:r>
          </w:p>
        </w:tc>
        <w:tc>
          <w:tcPr>
            <w:tcW w:w="1001" w:type="dxa"/>
            <w:tcBorders>
              <w:tl2br w:val="nil"/>
              <w:tr2bl w:val="nil"/>
            </w:tcBorders>
            <w:noWrap/>
            <w:vAlign w:val="center"/>
          </w:tcPr>
          <w:p w14:paraId="20ADD4BE">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1-1</w:t>
            </w:r>
            <w:r>
              <w:rPr>
                <w:rFonts w:hint="eastAsia" w:ascii="宋体" w:hAnsi="宋体" w:cs="宋体"/>
                <w:bCs/>
                <w:snapToGrid/>
                <w:szCs w:val="21"/>
                <w:lang w:val="en-US" w:eastAsia="zh-CN"/>
              </w:rPr>
              <w:t>2</w:t>
            </w:r>
            <w:r>
              <w:rPr>
                <w:rFonts w:hint="eastAsia" w:ascii="宋体" w:hAnsi="宋体" w:eastAsia="宋体" w:cs="宋体"/>
                <w:bCs/>
                <w:snapToGrid/>
                <w:szCs w:val="21"/>
                <w:lang w:val="en-US" w:eastAsia="zh-CN"/>
              </w:rPr>
              <w:t>分</w:t>
            </w:r>
          </w:p>
        </w:tc>
      </w:tr>
      <w:tr w14:paraId="7B426C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86" w:type="dxa"/>
            <w:tcBorders>
              <w:tl2br w:val="nil"/>
              <w:tr2bl w:val="nil"/>
            </w:tcBorders>
            <w:shd w:val="clear" w:color="auto" w:fill="auto"/>
            <w:noWrap/>
            <w:vAlign w:val="center"/>
          </w:tcPr>
          <w:p w14:paraId="58F1F1A7">
            <w:pPr>
              <w:snapToGrid w:val="0"/>
              <w:rPr>
                <w:rFonts w:hint="default" w:ascii="宋体" w:hAnsi="宋体" w:eastAsia="宋体" w:cs="宋体"/>
                <w:bCs/>
                <w:snapToGrid/>
                <w:szCs w:val="21"/>
                <w:lang w:val="en-US" w:eastAsia="zh-CN"/>
              </w:rPr>
            </w:pPr>
            <w:r>
              <w:rPr>
                <w:rFonts w:hint="eastAsia" w:ascii="宋体" w:hAnsi="宋体" w:eastAsia="宋体" w:cs="宋体"/>
                <w:bCs/>
                <w:snapToGrid/>
                <w:szCs w:val="21"/>
                <w:lang w:eastAsia="zh-CN"/>
              </w:rPr>
              <w:t>资质和经验</w:t>
            </w:r>
          </w:p>
        </w:tc>
        <w:tc>
          <w:tcPr>
            <w:tcW w:w="6385" w:type="dxa"/>
            <w:tcBorders>
              <w:tl2br w:val="nil"/>
              <w:tr2bl w:val="nil"/>
            </w:tcBorders>
            <w:shd w:val="clear" w:color="auto" w:fill="auto"/>
            <w:noWrap/>
            <w:vAlign w:val="center"/>
          </w:tcPr>
          <w:p w14:paraId="449F672C">
            <w:pPr>
              <w:snapToGrid w:val="0"/>
              <w:rPr>
                <w:rFonts w:hint="default" w:ascii="宋体" w:hAnsi="宋体" w:eastAsia="宋体" w:cs="宋体"/>
                <w:bCs/>
                <w:snapToGrid/>
                <w:szCs w:val="21"/>
                <w:lang w:val="en-US" w:eastAsia="zh-CN"/>
              </w:rPr>
            </w:pPr>
            <w:r>
              <w:rPr>
                <w:rFonts w:hint="eastAsia" w:ascii="宋体" w:hAnsi="宋体" w:eastAsia="宋体" w:cs="宋体"/>
                <w:bCs/>
                <w:snapToGrid/>
                <w:szCs w:val="21"/>
                <w:lang w:eastAsia="zh-CN"/>
              </w:rPr>
              <w:t>根据</w:t>
            </w:r>
            <w:r>
              <w:rPr>
                <w:rFonts w:hint="eastAsia" w:ascii="宋体" w:hAnsi="宋体" w:eastAsia="宋体" w:cs="宋体"/>
                <w:bCs/>
                <w:snapToGrid/>
                <w:szCs w:val="21"/>
                <w:lang w:val="en-US" w:eastAsia="zh-CN"/>
              </w:rPr>
              <w:t>投标人</w:t>
            </w:r>
            <w:r>
              <w:rPr>
                <w:rFonts w:hint="eastAsia" w:ascii="宋体" w:hAnsi="宋体" w:eastAsia="宋体" w:cs="宋体"/>
                <w:bCs/>
                <w:snapToGrid/>
                <w:szCs w:val="21"/>
                <w:lang w:eastAsia="zh-CN"/>
              </w:rPr>
              <w:t>提供的针对本项目</w:t>
            </w:r>
            <w:r>
              <w:rPr>
                <w:rFonts w:hint="eastAsia" w:ascii="宋体" w:hAnsi="宋体" w:eastAsia="宋体" w:cs="宋体"/>
                <w:bCs/>
                <w:snapToGrid/>
                <w:szCs w:val="21"/>
                <w:lang w:val="en-US" w:eastAsia="zh-CN"/>
              </w:rPr>
              <w:t>相关资质，得1-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r>
              <w:rPr>
                <w:rFonts w:hint="eastAsia" w:ascii="宋体" w:hAnsi="宋体" w:cs="宋体"/>
                <w:bCs/>
                <w:snapToGrid/>
                <w:szCs w:val="21"/>
                <w:lang w:val="en-US" w:eastAsia="zh-CN"/>
              </w:rPr>
              <w:t>。</w:t>
            </w:r>
          </w:p>
        </w:tc>
        <w:tc>
          <w:tcPr>
            <w:tcW w:w="1001" w:type="dxa"/>
            <w:tcBorders>
              <w:tl2br w:val="nil"/>
              <w:tr2bl w:val="nil"/>
            </w:tcBorders>
            <w:noWrap/>
            <w:vAlign w:val="center"/>
          </w:tcPr>
          <w:p w14:paraId="3CF242CB">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p>
        </w:tc>
      </w:tr>
      <w:tr w14:paraId="4373A2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86" w:type="dxa"/>
            <w:tcBorders>
              <w:tl2br w:val="nil"/>
              <w:tr2bl w:val="nil"/>
            </w:tcBorders>
            <w:shd w:val="clear" w:color="auto" w:fill="auto"/>
            <w:noWrap/>
            <w:vAlign w:val="center"/>
          </w:tcPr>
          <w:p w14:paraId="3F71434C">
            <w:pPr>
              <w:snapToGrid w:val="0"/>
              <w:rPr>
                <w:rFonts w:hint="default" w:ascii="宋体" w:hAnsi="宋体" w:eastAsia="宋体" w:cs="宋体"/>
                <w:bCs/>
                <w:snapToGrid/>
                <w:szCs w:val="21"/>
                <w:lang w:val="en-US" w:eastAsia="zh-CN"/>
              </w:rPr>
            </w:pPr>
            <w:r>
              <w:rPr>
                <w:rFonts w:hint="eastAsia" w:ascii="宋体" w:hAnsi="宋体" w:eastAsia="宋体" w:cs="宋体"/>
                <w:bCs/>
                <w:snapToGrid/>
                <w:szCs w:val="21"/>
                <w:lang w:val="en-US" w:eastAsia="zh-CN"/>
              </w:rPr>
              <w:t>响应机制</w:t>
            </w:r>
          </w:p>
        </w:tc>
        <w:tc>
          <w:tcPr>
            <w:tcW w:w="6385" w:type="dxa"/>
            <w:tcBorders>
              <w:tl2br w:val="nil"/>
              <w:tr2bl w:val="nil"/>
            </w:tcBorders>
            <w:shd w:val="clear" w:color="auto" w:fill="auto"/>
            <w:noWrap/>
            <w:vAlign w:val="center"/>
          </w:tcPr>
          <w:p w14:paraId="3B315492">
            <w:pPr>
              <w:snapToGrid w:val="0"/>
              <w:rPr>
                <w:rFonts w:hint="default" w:ascii="宋体" w:hAnsi="宋体" w:eastAsia="宋体" w:cs="宋体"/>
                <w:bCs/>
                <w:snapToGrid/>
                <w:szCs w:val="21"/>
                <w:lang w:val="en-US" w:eastAsia="zh-CN"/>
              </w:rPr>
            </w:pPr>
            <w:r>
              <w:rPr>
                <w:rFonts w:hint="eastAsia" w:ascii="宋体" w:hAnsi="宋体" w:eastAsia="宋体" w:cs="宋体"/>
                <w:bCs/>
                <w:snapToGrid/>
                <w:szCs w:val="21"/>
                <w:lang w:eastAsia="zh-CN"/>
              </w:rPr>
              <w:t>根据</w:t>
            </w:r>
            <w:r>
              <w:rPr>
                <w:rFonts w:hint="eastAsia" w:ascii="宋体" w:hAnsi="宋体" w:eastAsia="宋体" w:cs="宋体"/>
                <w:bCs/>
                <w:snapToGrid/>
                <w:szCs w:val="21"/>
                <w:lang w:val="en-US" w:eastAsia="zh-CN"/>
              </w:rPr>
              <w:t>投标人</w:t>
            </w:r>
            <w:r>
              <w:rPr>
                <w:rFonts w:hint="eastAsia" w:ascii="宋体" w:hAnsi="宋体" w:eastAsia="宋体" w:cs="宋体"/>
                <w:bCs/>
                <w:snapToGrid/>
                <w:szCs w:val="21"/>
                <w:lang w:eastAsia="zh-CN"/>
              </w:rPr>
              <w:t>提供的针对本项目</w:t>
            </w:r>
            <w:r>
              <w:rPr>
                <w:rFonts w:hint="eastAsia" w:ascii="宋体" w:hAnsi="宋体" w:eastAsia="宋体" w:cs="宋体"/>
                <w:bCs/>
                <w:snapToGrid/>
                <w:szCs w:val="21"/>
                <w:lang w:val="en-US" w:eastAsia="zh-CN"/>
              </w:rPr>
              <w:t>的</w:t>
            </w:r>
            <w:r>
              <w:rPr>
                <w:rFonts w:hint="eastAsia" w:ascii="宋体" w:hAnsi="宋体" w:eastAsia="宋体" w:cs="宋体"/>
                <w:bCs/>
                <w:snapToGrid/>
                <w:szCs w:val="21"/>
                <w:lang w:eastAsia="zh-CN"/>
              </w:rPr>
              <w:t>应急响应机制</w:t>
            </w:r>
            <w:r>
              <w:rPr>
                <w:rFonts w:hint="eastAsia" w:ascii="宋体" w:hAnsi="宋体" w:cs="宋体"/>
                <w:bCs/>
                <w:snapToGrid/>
                <w:szCs w:val="21"/>
                <w:lang w:eastAsia="zh-CN"/>
              </w:rPr>
              <w:t>、</w:t>
            </w:r>
            <w:r>
              <w:rPr>
                <w:rFonts w:hint="eastAsia" w:ascii="宋体" w:hAnsi="宋体" w:eastAsia="宋体" w:cs="宋体"/>
                <w:bCs/>
                <w:snapToGrid/>
                <w:szCs w:val="21"/>
                <w:lang w:eastAsia="zh-CN"/>
              </w:rPr>
              <w:t>质量保障措施</w:t>
            </w:r>
            <w:r>
              <w:rPr>
                <w:rFonts w:hint="eastAsia" w:ascii="宋体" w:hAnsi="宋体" w:cs="宋体"/>
                <w:bCs/>
                <w:snapToGrid/>
                <w:szCs w:val="21"/>
                <w:lang w:val="en-US" w:eastAsia="zh-CN"/>
              </w:rPr>
              <w:t>和进度计划等是否符合采购人的要求</w:t>
            </w:r>
            <w:r>
              <w:rPr>
                <w:rFonts w:hint="eastAsia" w:ascii="宋体" w:hAnsi="宋体" w:eastAsia="宋体" w:cs="宋体"/>
                <w:bCs/>
                <w:snapToGrid/>
                <w:szCs w:val="21"/>
                <w:lang w:eastAsia="zh-CN"/>
              </w:rPr>
              <w:t>，</w:t>
            </w:r>
            <w:r>
              <w:rPr>
                <w:rFonts w:hint="eastAsia" w:ascii="宋体" w:hAnsi="宋体" w:eastAsia="宋体" w:cs="宋体"/>
                <w:bCs/>
                <w:snapToGrid/>
                <w:szCs w:val="21"/>
                <w:lang w:val="en-US" w:eastAsia="zh-CN"/>
              </w:rPr>
              <w:t>得1-6分</w:t>
            </w:r>
            <w:r>
              <w:rPr>
                <w:rFonts w:hint="eastAsia" w:ascii="宋体" w:hAnsi="宋体" w:cs="宋体"/>
                <w:bCs/>
                <w:snapToGrid/>
                <w:szCs w:val="21"/>
                <w:lang w:val="en-US" w:eastAsia="zh-CN"/>
              </w:rPr>
              <w:t>。</w:t>
            </w:r>
          </w:p>
        </w:tc>
        <w:tc>
          <w:tcPr>
            <w:tcW w:w="1001" w:type="dxa"/>
            <w:tcBorders>
              <w:tl2br w:val="nil"/>
              <w:tr2bl w:val="nil"/>
            </w:tcBorders>
            <w:noWrap/>
            <w:vAlign w:val="center"/>
          </w:tcPr>
          <w:p w14:paraId="0FFD6F7D">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86" w:type="dxa"/>
            <w:tcBorders>
              <w:tl2br w:val="nil"/>
              <w:tr2bl w:val="nil"/>
            </w:tcBorders>
            <w:shd w:val="clear" w:color="auto" w:fill="auto"/>
            <w:noWrap/>
            <w:vAlign w:val="center"/>
          </w:tcPr>
          <w:p w14:paraId="7A44B3E7">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优惠措施</w:t>
            </w:r>
          </w:p>
        </w:tc>
        <w:tc>
          <w:tcPr>
            <w:tcW w:w="6385" w:type="dxa"/>
            <w:tcBorders>
              <w:tl2br w:val="nil"/>
              <w:tr2bl w:val="nil"/>
            </w:tcBorders>
            <w:shd w:val="clear" w:color="auto" w:fill="auto"/>
            <w:noWrap/>
            <w:vAlign w:val="center"/>
          </w:tcPr>
          <w:p w14:paraId="5BCA626A">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根据投标人提供的针对本项目的其他优惠措施，包括响应及时性、增值服务、优惠服务等，得1-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p>
        </w:tc>
        <w:tc>
          <w:tcPr>
            <w:tcW w:w="1001" w:type="dxa"/>
            <w:tcBorders>
              <w:tl2br w:val="nil"/>
              <w:tr2bl w:val="nil"/>
            </w:tcBorders>
            <w:shd w:val="clear" w:color="auto" w:fill="auto"/>
            <w:noWrap/>
            <w:vAlign w:val="center"/>
          </w:tcPr>
          <w:p w14:paraId="1018E0A3">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1-6分</w:t>
            </w:r>
          </w:p>
        </w:tc>
      </w:tr>
    </w:tbl>
    <w:p w14:paraId="7C989B5F">
      <w:pPr>
        <w:pStyle w:val="42"/>
        <w:ind w:firstLine="0" w:firstLineChars="0"/>
        <w:rPr>
          <w:rFonts w:hint="eastAsia" w:ascii="宋体" w:hAnsi="宋体" w:eastAsia="宋体" w:cs="宋体"/>
          <w:highlight w:val="none"/>
        </w:rPr>
      </w:pPr>
      <w:r>
        <w:rPr>
          <w:rFonts w:hint="eastAsia" w:ascii="宋体" w:hAnsi="宋体" w:eastAsia="宋体" w:cs="宋体"/>
          <w:highlight w:val="none"/>
        </w:rPr>
        <w:t>注：上述所有证书应在有效期内，复印件加盖单位公章，原件备查。供应商如提供虚假证明材料的，将承担相应的法律责任。</w:t>
      </w:r>
    </w:p>
    <w:p w14:paraId="058D7BAF">
      <w:pPr>
        <w:pStyle w:val="25"/>
        <w:adjustRightInd w:val="0"/>
        <w:snapToGrid w:val="0"/>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2、价格分（</w:t>
      </w:r>
      <w:r>
        <w:rPr>
          <w:rFonts w:hint="eastAsia" w:ascii="宋体" w:hAnsi="宋体" w:cs="宋体"/>
          <w:b/>
          <w:sz w:val="24"/>
          <w:szCs w:val="24"/>
          <w:highlight w:val="none"/>
          <w:lang w:val="en-US" w:eastAsia="zh-CN"/>
        </w:rPr>
        <w:t>30</w:t>
      </w:r>
      <w:r>
        <w:rPr>
          <w:rFonts w:hint="eastAsia" w:ascii="宋体" w:hAnsi="宋体" w:eastAsia="宋体" w:cs="宋体"/>
          <w:b/>
          <w:sz w:val="24"/>
          <w:szCs w:val="24"/>
          <w:highlight w:val="none"/>
        </w:rPr>
        <w:t>分）</w:t>
      </w:r>
    </w:p>
    <w:p w14:paraId="5BD47EE4">
      <w:pPr>
        <w:widowControl/>
        <w:snapToGrid w:val="0"/>
        <w:spacing w:line="460" w:lineRule="exact"/>
        <w:ind w:firstLine="482" w:firstLineChars="200"/>
        <w:jc w:val="left"/>
        <w:rPr>
          <w:rFonts w:hint="eastAsia" w:ascii="宋体" w:hAnsi="宋体" w:eastAsia="宋体" w:cs="宋体"/>
          <w:kern w:val="0"/>
          <w:sz w:val="24"/>
          <w:highlight w:val="none"/>
        </w:rPr>
      </w:pPr>
      <w:r>
        <w:rPr>
          <w:rFonts w:hint="eastAsia" w:ascii="宋体" w:hAnsi="宋体" w:eastAsia="宋体" w:cs="宋体"/>
          <w:b/>
          <w:bCs/>
          <w:kern w:val="0"/>
          <w:sz w:val="24"/>
          <w:highlight w:val="none"/>
          <w:lang w:val="en-US" w:eastAsia="zh-CN"/>
        </w:rPr>
        <w:t>（1）报价的合理性：</w:t>
      </w:r>
      <w:r>
        <w:rPr>
          <w:rFonts w:hint="eastAsia" w:ascii="宋体" w:hAnsi="宋体" w:eastAsia="宋体" w:cs="宋体"/>
          <w:kern w:val="0"/>
          <w:sz w:val="24"/>
          <w:highlight w:val="none"/>
        </w:rPr>
        <w:t>分析总报价及各个分项报价是否合理，报价范围是否完整，有否重大错漏项，评标委员会认为</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报价出现异常时，有权要求</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人在评标期间对</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报价的详细组成</w:t>
      </w:r>
      <w:r>
        <w:rPr>
          <w:rFonts w:hint="eastAsia" w:ascii="宋体" w:hAnsi="宋体" w:eastAsia="宋体" w:cs="宋体"/>
          <w:kern w:val="0"/>
          <w:sz w:val="24"/>
          <w:highlight w:val="none"/>
          <w:lang w:eastAsia="zh-CN"/>
        </w:rPr>
        <w:t>和响应</w:t>
      </w:r>
      <w:r>
        <w:rPr>
          <w:rFonts w:hint="eastAsia" w:ascii="宋体" w:hAnsi="宋体" w:eastAsia="宋体" w:cs="宋体"/>
          <w:kern w:val="0"/>
          <w:sz w:val="24"/>
          <w:highlight w:val="none"/>
        </w:rPr>
        <w:t>产品的供应渠道等事项作出解释和澄清，并确认其</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报价是否有效。</w:t>
      </w:r>
    </w:p>
    <w:p w14:paraId="36DC86DF">
      <w:pPr>
        <w:widowControl/>
        <w:snapToGrid w:val="0"/>
        <w:spacing w:line="460" w:lineRule="exact"/>
        <w:ind w:firstLine="482" w:firstLineChars="200"/>
        <w:jc w:val="left"/>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（2）价格</w:t>
      </w:r>
      <w:r>
        <w:rPr>
          <w:rFonts w:hint="eastAsia" w:ascii="宋体" w:hAnsi="宋体" w:eastAsia="宋体" w:cs="宋体"/>
          <w:b/>
          <w:bCs/>
          <w:kern w:val="0"/>
          <w:sz w:val="24"/>
          <w:highlight w:val="none"/>
          <w:lang w:eastAsia="zh-CN"/>
        </w:rPr>
        <w:t>（</w:t>
      </w:r>
      <w:r>
        <w:rPr>
          <w:rFonts w:hint="eastAsia" w:ascii="宋体" w:hAnsi="宋体" w:cs="宋体"/>
          <w:b/>
          <w:bCs/>
          <w:kern w:val="0"/>
          <w:sz w:val="24"/>
          <w:highlight w:val="none"/>
          <w:lang w:val="en-US" w:eastAsia="zh-CN"/>
        </w:rPr>
        <w:t>30</w:t>
      </w:r>
      <w:r>
        <w:rPr>
          <w:rFonts w:hint="eastAsia" w:ascii="宋体" w:hAnsi="宋体" w:eastAsia="宋体" w:cs="宋体"/>
          <w:b/>
          <w:bCs/>
          <w:kern w:val="0"/>
          <w:sz w:val="24"/>
          <w:highlight w:val="none"/>
          <w:lang w:val="en-US" w:eastAsia="zh-CN"/>
        </w:rPr>
        <w:t>分</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w:t>
      </w:r>
    </w:p>
    <w:p w14:paraId="0E1DECE3">
      <w:pPr>
        <w:widowControl/>
        <w:snapToGrid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val="0"/>
          <w:bCs w:val="0"/>
          <w:kern w:val="0"/>
          <w:sz w:val="24"/>
          <w:highlight w:val="none"/>
          <w:lang w:val="en-US" w:eastAsia="zh-CN"/>
        </w:rPr>
        <w:t>根据各响应人的有效响应报价，满足磋商文件要求且响应价格最低的</w:t>
      </w:r>
      <w:r>
        <w:rPr>
          <w:rFonts w:hint="eastAsia" w:ascii="宋体" w:hAnsi="宋体" w:eastAsia="宋体" w:cs="宋体"/>
          <w:b/>
          <w:bCs/>
          <w:kern w:val="0"/>
          <w:sz w:val="24"/>
          <w:highlight w:val="none"/>
          <w:lang w:eastAsia="zh-CN"/>
        </w:rPr>
        <w:t>（注：本项目商务价格分以各响应单位中最低的</w:t>
      </w:r>
      <w:r>
        <w:rPr>
          <w:rFonts w:hint="eastAsia" w:ascii="宋体" w:hAnsi="宋体" w:eastAsia="宋体" w:cs="宋体"/>
          <w:b/>
          <w:bCs/>
          <w:kern w:val="0"/>
          <w:sz w:val="24"/>
          <w:highlight w:val="none"/>
          <w:lang w:val="en-US" w:eastAsia="zh-CN"/>
        </w:rPr>
        <w:t>投标</w:t>
      </w:r>
      <w:r>
        <w:rPr>
          <w:rFonts w:hint="eastAsia" w:ascii="宋体" w:hAnsi="宋体" w:eastAsia="宋体" w:cs="宋体"/>
          <w:b/>
          <w:bCs/>
          <w:kern w:val="0"/>
          <w:sz w:val="24"/>
          <w:highlight w:val="none"/>
          <w:lang w:eastAsia="zh-CN"/>
        </w:rPr>
        <w:t>报价）</w:t>
      </w:r>
      <w:r>
        <w:rPr>
          <w:rFonts w:hint="eastAsia" w:ascii="宋体" w:hAnsi="宋体" w:eastAsia="宋体" w:cs="宋体"/>
          <w:b w:val="0"/>
          <w:bCs w:val="0"/>
          <w:kern w:val="0"/>
          <w:sz w:val="24"/>
          <w:highlight w:val="none"/>
          <w:lang w:val="en-US" w:eastAsia="zh-CN"/>
        </w:rPr>
        <w:t>响应报价为评标基准价，其商务价格分为满分。其他响应人的商务价格分统一按照下列公式计算：响应报价得分=(评标基准价／有效响应报价)×</w:t>
      </w:r>
      <w:r>
        <w:rPr>
          <w:rFonts w:hint="eastAsia" w:ascii="宋体" w:hAnsi="宋体" w:cs="宋体"/>
          <w:b w:val="0"/>
          <w:bCs w:val="0"/>
          <w:kern w:val="0"/>
          <w:sz w:val="24"/>
          <w:highlight w:val="none"/>
          <w:lang w:val="en-US" w:eastAsia="zh-CN"/>
        </w:rPr>
        <w:t>30</w:t>
      </w:r>
      <w:r>
        <w:rPr>
          <w:rFonts w:hint="eastAsia" w:ascii="宋体" w:hAnsi="宋体" w:eastAsia="宋体" w:cs="宋体"/>
          <w:b w:val="0"/>
          <w:bCs w:val="0"/>
          <w:kern w:val="0"/>
          <w:sz w:val="24"/>
          <w:highlight w:val="none"/>
          <w:lang w:val="en-US" w:eastAsia="zh-CN"/>
        </w:rPr>
        <w:t>%×100；</w:t>
      </w:r>
    </w:p>
    <w:bookmarkEnd w:id="14"/>
    <w:p w14:paraId="6F684CAC">
      <w:pPr>
        <w:pStyle w:val="42"/>
        <w:ind w:firstLine="482"/>
        <w:rPr>
          <w:rFonts w:hint="eastAsia" w:ascii="宋体" w:hAnsi="宋体" w:eastAsia="宋体" w:cs="宋体"/>
          <w:b/>
          <w:bCs/>
          <w:highlight w:val="none"/>
        </w:rPr>
      </w:pPr>
      <w:r>
        <w:rPr>
          <w:rFonts w:hint="eastAsia" w:ascii="宋体" w:hAnsi="宋体" w:eastAsia="宋体" w:cs="宋体"/>
          <w:b/>
          <w:bCs/>
          <w:highlight w:val="none"/>
        </w:rPr>
        <w:t>六、询标</w:t>
      </w:r>
    </w:p>
    <w:p w14:paraId="0F524757">
      <w:pPr>
        <w:pStyle w:val="42"/>
        <w:rPr>
          <w:rFonts w:hint="eastAsia" w:ascii="宋体" w:hAnsi="宋体" w:eastAsia="宋体" w:cs="宋体"/>
          <w:highlight w:val="none"/>
        </w:rPr>
      </w:pPr>
      <w:r>
        <w:rPr>
          <w:rFonts w:hint="eastAsia" w:ascii="宋体" w:hAnsi="宋体" w:eastAsia="宋体" w:cs="宋体"/>
          <w:highlight w:val="none"/>
        </w:rPr>
        <w:t>对响应文件中存在含义不清楚的内容，必要时磋商小组将要求供应商作出澄清、说明或补正。询标记录需供应商授权代表签字确认，它将作为响应文件的一部分。</w:t>
      </w:r>
    </w:p>
    <w:p w14:paraId="62879AF6">
      <w:pPr>
        <w:pStyle w:val="42"/>
        <w:ind w:firstLine="482"/>
        <w:rPr>
          <w:rFonts w:hint="eastAsia" w:ascii="宋体" w:hAnsi="宋体" w:eastAsia="宋体" w:cs="宋体"/>
          <w:b/>
          <w:bCs/>
          <w:highlight w:val="none"/>
        </w:rPr>
      </w:pPr>
      <w:r>
        <w:rPr>
          <w:rFonts w:hint="eastAsia" w:ascii="宋体" w:hAnsi="宋体" w:eastAsia="宋体" w:cs="宋体"/>
          <w:b/>
          <w:bCs/>
          <w:highlight w:val="none"/>
        </w:rPr>
        <w:t>七、定标办法</w:t>
      </w:r>
    </w:p>
    <w:p w14:paraId="0750BEB7">
      <w:pPr>
        <w:pStyle w:val="42"/>
        <w:rPr>
          <w:rFonts w:hint="eastAsia" w:ascii="宋体" w:hAnsi="宋体" w:eastAsia="宋体" w:cs="宋体"/>
          <w:highlight w:val="none"/>
        </w:rPr>
      </w:pPr>
      <w:r>
        <w:rPr>
          <w:rFonts w:hint="eastAsia" w:ascii="宋体" w:hAnsi="宋体" w:eastAsia="宋体" w:cs="宋体"/>
          <w:highlight w:val="none"/>
        </w:rPr>
        <w:t>采购人将根据磋商小组提交的评审报告及推荐的成交候选人，按有关规定确定成交供应商。</w:t>
      </w:r>
    </w:p>
    <w:p w14:paraId="3FB122CF">
      <w:pPr>
        <w:pStyle w:val="42"/>
        <w:ind w:firstLine="482"/>
        <w:rPr>
          <w:rFonts w:hint="eastAsia" w:ascii="宋体" w:hAnsi="宋体" w:eastAsia="宋体" w:cs="宋体"/>
          <w:b/>
          <w:bCs/>
          <w:highlight w:val="none"/>
        </w:rPr>
      </w:pPr>
      <w:r>
        <w:rPr>
          <w:rFonts w:hint="eastAsia" w:ascii="宋体" w:hAnsi="宋体" w:eastAsia="宋体" w:cs="宋体"/>
          <w:b/>
          <w:bCs/>
          <w:highlight w:val="none"/>
        </w:rPr>
        <w:t>八、供应商义务</w:t>
      </w:r>
    </w:p>
    <w:p w14:paraId="09913F1C">
      <w:pPr>
        <w:pStyle w:val="42"/>
        <w:rPr>
          <w:rFonts w:hint="eastAsia" w:ascii="宋体" w:hAnsi="宋体" w:eastAsia="宋体" w:cs="宋体"/>
          <w:highlight w:val="none"/>
        </w:rPr>
      </w:pPr>
      <w:r>
        <w:rPr>
          <w:rFonts w:hint="eastAsia" w:ascii="宋体" w:hAnsi="宋体" w:eastAsia="宋体" w:cs="宋体"/>
          <w:highlight w:val="none"/>
        </w:rPr>
        <w:t>评审期间，供应商应随时随地答复磋商小组的询标，解答包括有关的商务、技术问题等。</w:t>
      </w:r>
    </w:p>
    <w:bookmarkEnd w:id="12"/>
    <w:bookmarkEnd w:id="13"/>
    <w:p w14:paraId="242EDBD5">
      <w:pPr>
        <w:pStyle w:val="4"/>
        <w:rPr>
          <w:rFonts w:hint="eastAsia" w:ascii="宋体" w:hAnsi="宋体" w:eastAsia="宋体" w:cs="宋体"/>
          <w:highlight w:val="none"/>
          <w:lang w:eastAsia="zh-CN"/>
        </w:rPr>
      </w:pPr>
      <w:bookmarkStart w:id="15" w:name="_Toc495317672"/>
      <w:bookmarkStart w:id="16" w:name="_Toc211745569"/>
      <w:bookmarkStart w:id="17" w:name="_Toc82338245"/>
      <w:bookmarkStart w:id="18" w:name="_Toc82873328"/>
      <w:r>
        <w:rPr>
          <w:rFonts w:hint="eastAsia" w:ascii="宋体" w:hAnsi="宋体" w:eastAsia="宋体" w:cs="宋体"/>
          <w:highlight w:val="none"/>
        </w:rPr>
        <w:br w:type="page"/>
      </w:r>
      <w:r>
        <w:rPr>
          <w:rFonts w:hint="eastAsia" w:ascii="宋体" w:hAnsi="宋体" w:eastAsia="宋体" w:cs="宋体"/>
          <w:highlight w:val="none"/>
        </w:rPr>
        <w:t>第四章 采购</w:t>
      </w:r>
      <w:bookmarkEnd w:id="15"/>
      <w:bookmarkEnd w:id="16"/>
      <w:bookmarkEnd w:id="17"/>
      <w:bookmarkEnd w:id="18"/>
      <w:r>
        <w:rPr>
          <w:rFonts w:hint="eastAsia" w:ascii="宋体" w:hAnsi="宋体" w:eastAsia="宋体" w:cs="宋体"/>
          <w:highlight w:val="none"/>
        </w:rPr>
        <w:t>合同主要条款</w:t>
      </w:r>
    </w:p>
    <w:p w14:paraId="34B438DF">
      <w:pPr>
        <w:pStyle w:val="17"/>
        <w:snapToGrid w:val="0"/>
        <w:spacing w:line="360" w:lineRule="auto"/>
        <w:ind w:right="1413" w:rightChars="673"/>
        <w:jc w:val="right"/>
        <w:rPr>
          <w:rFonts w:hint="eastAsia" w:ascii="宋体" w:hAnsi="宋体" w:eastAsia="宋体" w:cs="宋体"/>
          <w:sz w:val="24"/>
          <w:szCs w:val="24"/>
          <w:highlight w:val="none"/>
        </w:rPr>
      </w:pPr>
      <w:bookmarkStart w:id="19" w:name="_Toc345575538"/>
      <w:bookmarkStart w:id="20" w:name="_Toc437953149"/>
      <w:bookmarkStart w:id="21" w:name="_Toc336683578"/>
      <w:r>
        <w:rPr>
          <w:rFonts w:hint="eastAsia" w:ascii="宋体" w:hAnsi="宋体" w:eastAsia="宋体" w:cs="宋体"/>
          <w:sz w:val="24"/>
          <w:szCs w:val="24"/>
          <w:highlight w:val="none"/>
        </w:rPr>
        <w:t>合同编号：</w:t>
      </w:r>
    </w:p>
    <w:p w14:paraId="00F68939">
      <w:pPr>
        <w:spacing w:line="360" w:lineRule="auto"/>
        <w:rPr>
          <w:rFonts w:hint="eastAsia" w:ascii="宋体" w:hAnsi="宋体" w:eastAsia="宋体" w:cs="宋体"/>
          <w:sz w:val="24"/>
          <w:highlight w:val="none"/>
        </w:rPr>
      </w:pPr>
    </w:p>
    <w:p w14:paraId="0CFB0AC1">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甲方：</w:t>
      </w:r>
      <w:r>
        <w:rPr>
          <w:rFonts w:hint="eastAsia" w:ascii="宋体" w:hAnsi="宋体" w:eastAsia="宋体" w:cs="宋体"/>
          <w:b/>
          <w:sz w:val="24"/>
          <w:highlight w:val="none"/>
        </w:rPr>
        <w:t>浙江省人民医院</w:t>
      </w:r>
      <w:r>
        <w:rPr>
          <w:rFonts w:hint="eastAsia" w:ascii="宋体" w:hAnsi="宋体" w:eastAsia="宋体" w:cs="宋体"/>
          <w:b/>
          <w:sz w:val="24"/>
          <w:highlight w:val="none"/>
          <w:lang w:val="en-US" w:eastAsia="zh-CN"/>
        </w:rPr>
        <w:t>富阳院区（杭州市富阳区第一人民医院）</w:t>
      </w:r>
      <w:r>
        <w:rPr>
          <w:rFonts w:hint="eastAsia" w:ascii="宋体" w:hAnsi="宋体" w:eastAsia="宋体" w:cs="宋体"/>
          <w:b/>
          <w:sz w:val="24"/>
          <w:highlight w:val="none"/>
        </w:rPr>
        <w:t>（以下简称甲方）</w:t>
      </w:r>
    </w:p>
    <w:p w14:paraId="15D846B0">
      <w:pPr>
        <w:spacing w:line="360" w:lineRule="auto"/>
        <w:rPr>
          <w:rFonts w:hint="eastAsia" w:ascii="宋体" w:hAnsi="宋体" w:eastAsia="宋体" w:cs="宋体"/>
          <w:b/>
          <w:sz w:val="24"/>
          <w:highlight w:val="none"/>
        </w:rPr>
      </w:pPr>
      <w:r>
        <w:rPr>
          <w:rFonts w:hint="eastAsia" w:ascii="宋体" w:hAnsi="宋体" w:eastAsia="宋体" w:cs="宋体"/>
          <w:sz w:val="24"/>
          <w:highlight w:val="none"/>
        </w:rPr>
        <w:t xml:space="preserve">乙方：              </w:t>
      </w:r>
      <w:r>
        <w:rPr>
          <w:rFonts w:hint="eastAsia" w:ascii="宋体" w:hAnsi="宋体" w:eastAsia="宋体" w:cs="宋体"/>
          <w:b/>
          <w:sz w:val="24"/>
          <w:highlight w:val="none"/>
        </w:rPr>
        <w:t>（以下简称乙方）</w:t>
      </w:r>
    </w:p>
    <w:p w14:paraId="251C923D">
      <w:pPr>
        <w:spacing w:line="360" w:lineRule="auto"/>
        <w:ind w:firstLine="528"/>
        <w:rPr>
          <w:rFonts w:hint="eastAsia" w:ascii="宋体" w:hAnsi="宋体" w:eastAsia="宋体" w:cs="宋体"/>
          <w:sz w:val="24"/>
          <w:highlight w:val="none"/>
        </w:rPr>
      </w:pPr>
    </w:p>
    <w:p w14:paraId="5422E425">
      <w:pPr>
        <w:pStyle w:val="42"/>
        <w:rPr>
          <w:rFonts w:hint="eastAsia" w:ascii="宋体" w:hAnsi="宋体" w:eastAsia="宋体" w:cs="宋体"/>
          <w:highlight w:val="none"/>
        </w:rPr>
      </w:pPr>
      <w:r>
        <w:rPr>
          <w:rFonts w:hint="eastAsia" w:ascii="宋体" w:hAnsi="宋体" w:eastAsia="宋体" w:cs="宋体"/>
          <w:highlight w:val="none"/>
        </w:rPr>
        <w:t>根据《中华人民共和国民法典》等法律法规，甲乙双方本着平等、互利、诚实信用的原则，就</w:t>
      </w:r>
      <w:r>
        <w:rPr>
          <w:rFonts w:hint="eastAsia" w:ascii="宋体" w:hAnsi="宋体" w:eastAsia="宋体" w:cs="宋体"/>
          <w:sz w:val="24"/>
          <w:highlight w:val="none"/>
          <w:shd w:val="clear" w:color="auto" w:fill="FFFFFF"/>
          <w:lang w:bidi="ar"/>
        </w:rPr>
        <w:t>浙</w:t>
      </w:r>
      <w:r>
        <w:rPr>
          <w:rFonts w:hint="eastAsia" w:ascii="宋体" w:hAnsi="宋体" w:eastAsia="宋体" w:cs="宋体"/>
          <w:highlight w:val="none"/>
          <w:lang w:val="en-US" w:eastAsia="zh-CN"/>
        </w:rPr>
        <w:t>浙江省人民医院富阳院区及江北院区病媒生物防制</w:t>
      </w:r>
      <w:r>
        <w:rPr>
          <w:rFonts w:hint="eastAsia" w:cs="宋体"/>
          <w:highlight w:val="none"/>
          <w:lang w:val="en-US" w:eastAsia="zh-CN"/>
        </w:rPr>
        <w:t>服务</w:t>
      </w:r>
      <w:r>
        <w:rPr>
          <w:rFonts w:hint="eastAsia" w:ascii="宋体" w:hAnsi="宋体" w:eastAsia="宋体" w:cs="宋体"/>
          <w:highlight w:val="none"/>
          <w:lang w:val="en-US" w:eastAsia="zh-CN"/>
        </w:rPr>
        <w:t>项目服务项目</w:t>
      </w:r>
      <w:r>
        <w:rPr>
          <w:rFonts w:hint="eastAsia" w:ascii="宋体" w:hAnsi="宋体" w:eastAsia="宋体" w:cs="宋体"/>
          <w:highlight w:val="none"/>
        </w:rPr>
        <w:t>，签订合同条款如下：</w:t>
      </w:r>
    </w:p>
    <w:p w14:paraId="5997478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一、下列文件构成本合同的组成部分 </w:t>
      </w:r>
    </w:p>
    <w:p w14:paraId="1BA0E828">
      <w:pPr>
        <w:pStyle w:val="42"/>
        <w:rPr>
          <w:rFonts w:hint="eastAsia" w:ascii="宋体" w:hAnsi="宋体" w:eastAsia="宋体" w:cs="宋体"/>
          <w:highlight w:val="none"/>
        </w:rPr>
      </w:pPr>
      <w:r>
        <w:rPr>
          <w:rFonts w:hint="eastAsia" w:ascii="宋体" w:hAnsi="宋体" w:eastAsia="宋体" w:cs="宋体"/>
          <w:highlight w:val="none"/>
        </w:rPr>
        <w:t xml:space="preserve">以下文件为本合同的组成部分，应该认为是一个整体，彼此相互解释，相互补充。组成合同的多个文件的优先支配地位的次序如下： </w:t>
      </w:r>
    </w:p>
    <w:p w14:paraId="06F70AA5">
      <w:pPr>
        <w:pStyle w:val="42"/>
        <w:rPr>
          <w:rFonts w:hint="eastAsia" w:ascii="宋体" w:hAnsi="宋体" w:eastAsia="宋体" w:cs="宋体"/>
          <w:highlight w:val="none"/>
        </w:rPr>
      </w:pPr>
      <w:r>
        <w:rPr>
          <w:rFonts w:hint="eastAsia" w:ascii="宋体" w:hAnsi="宋体" w:eastAsia="宋体" w:cs="宋体"/>
          <w:highlight w:val="none"/>
        </w:rPr>
        <w:t xml:space="preserve">a. 本合同书 </w:t>
      </w:r>
    </w:p>
    <w:p w14:paraId="4E6013B0">
      <w:pPr>
        <w:pStyle w:val="42"/>
        <w:rPr>
          <w:rFonts w:hint="eastAsia" w:ascii="宋体" w:hAnsi="宋体" w:eastAsia="宋体" w:cs="宋体"/>
          <w:highlight w:val="none"/>
        </w:rPr>
      </w:pPr>
      <w:r>
        <w:rPr>
          <w:rFonts w:hint="eastAsia" w:ascii="宋体" w:hAnsi="宋体" w:eastAsia="宋体" w:cs="宋体"/>
          <w:highlight w:val="none"/>
        </w:rPr>
        <w:t xml:space="preserve">b. 成交通知书 </w:t>
      </w:r>
    </w:p>
    <w:p w14:paraId="56E0262C">
      <w:pPr>
        <w:pStyle w:val="42"/>
        <w:rPr>
          <w:rFonts w:hint="eastAsia" w:ascii="宋体" w:hAnsi="宋体" w:eastAsia="宋体" w:cs="宋体"/>
          <w:highlight w:val="none"/>
        </w:rPr>
      </w:pPr>
      <w:r>
        <w:rPr>
          <w:rFonts w:hint="eastAsia" w:ascii="宋体" w:hAnsi="宋体" w:eastAsia="宋体" w:cs="宋体"/>
          <w:highlight w:val="none"/>
        </w:rPr>
        <w:t>c. 投标响应承诺</w:t>
      </w:r>
    </w:p>
    <w:p w14:paraId="70253AA7">
      <w:pPr>
        <w:pStyle w:val="42"/>
        <w:rPr>
          <w:rFonts w:hint="eastAsia" w:ascii="宋体" w:hAnsi="宋体" w:eastAsia="宋体" w:cs="宋体"/>
          <w:highlight w:val="none"/>
        </w:rPr>
      </w:pPr>
      <w:r>
        <w:rPr>
          <w:rFonts w:hint="eastAsia" w:ascii="宋体" w:hAnsi="宋体" w:eastAsia="宋体" w:cs="宋体"/>
          <w:highlight w:val="none"/>
        </w:rPr>
        <w:t>d. 投标响应文件</w:t>
      </w:r>
    </w:p>
    <w:p w14:paraId="5F47FC3F">
      <w:pPr>
        <w:pStyle w:val="42"/>
        <w:rPr>
          <w:rFonts w:hint="eastAsia" w:ascii="宋体" w:hAnsi="宋体" w:eastAsia="宋体" w:cs="宋体"/>
          <w:highlight w:val="none"/>
        </w:rPr>
      </w:pPr>
      <w:r>
        <w:rPr>
          <w:rFonts w:hint="eastAsia" w:ascii="宋体" w:hAnsi="宋体" w:eastAsia="宋体" w:cs="宋体"/>
          <w:highlight w:val="none"/>
        </w:rPr>
        <w:t>e. 采购文件</w:t>
      </w:r>
    </w:p>
    <w:p w14:paraId="59F527F0">
      <w:pPr>
        <w:pStyle w:val="42"/>
        <w:rPr>
          <w:rFonts w:hint="eastAsia" w:ascii="宋体" w:hAnsi="宋体" w:eastAsia="宋体" w:cs="宋体"/>
          <w:highlight w:val="none"/>
        </w:rPr>
      </w:pPr>
      <w:r>
        <w:rPr>
          <w:rFonts w:hint="eastAsia" w:ascii="宋体" w:hAnsi="宋体" w:eastAsia="宋体" w:cs="宋体"/>
          <w:highlight w:val="none"/>
        </w:rPr>
        <w:t>f. 其他文件（若有）</w:t>
      </w:r>
    </w:p>
    <w:p w14:paraId="3C1E949A">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二、合同总价 </w:t>
      </w:r>
    </w:p>
    <w:p w14:paraId="7C37AC63">
      <w:pPr>
        <w:pStyle w:val="42"/>
        <w:ind w:firstLine="960" w:firstLineChars="400"/>
        <w:rPr>
          <w:rFonts w:hint="eastAsia" w:ascii="宋体" w:hAnsi="宋体" w:eastAsia="宋体" w:cs="宋体"/>
          <w:highlight w:val="none"/>
        </w:rPr>
      </w:pPr>
      <w:r>
        <w:rPr>
          <w:rFonts w:hint="eastAsia" w:ascii="宋体" w:hAnsi="宋体" w:eastAsia="宋体" w:cs="宋体"/>
          <w:highlight w:val="none"/>
        </w:rPr>
        <w:t>合同总价：</w:t>
      </w:r>
      <w:r>
        <w:rPr>
          <w:rFonts w:hint="eastAsia" w:ascii="宋体" w:hAnsi="宋体" w:eastAsia="宋体" w:cs="宋体"/>
          <w:highlight w:val="none"/>
          <w:u w:val="single"/>
        </w:rPr>
        <w:t xml:space="preserve">小写：           </w:t>
      </w:r>
      <w:r>
        <w:rPr>
          <w:rFonts w:hint="eastAsia" w:ascii="宋体" w:hAnsi="宋体" w:eastAsia="宋体" w:cs="宋体"/>
          <w:highlight w:val="none"/>
        </w:rPr>
        <w:t>元，</w:t>
      </w:r>
      <w:r>
        <w:rPr>
          <w:rFonts w:hint="eastAsia" w:ascii="宋体" w:hAnsi="宋体" w:eastAsia="宋体" w:cs="宋体"/>
          <w:highlight w:val="none"/>
          <w:u w:val="single"/>
        </w:rPr>
        <w:t xml:space="preserve">大写：             </w:t>
      </w:r>
      <w:r>
        <w:rPr>
          <w:rFonts w:hint="eastAsia" w:ascii="宋体" w:hAnsi="宋体" w:eastAsia="宋体" w:cs="宋体"/>
          <w:highlight w:val="none"/>
        </w:rPr>
        <w:t>整。</w:t>
      </w:r>
    </w:p>
    <w:p w14:paraId="7EDD4700">
      <w:pPr>
        <w:pStyle w:val="42"/>
        <w:ind w:firstLine="960" w:firstLineChars="400"/>
        <w:rPr>
          <w:rFonts w:hint="eastAsia" w:ascii="宋体" w:hAnsi="宋体" w:eastAsia="宋体" w:cs="宋体"/>
          <w:highlight w:val="none"/>
        </w:rPr>
      </w:pPr>
      <w:r>
        <w:rPr>
          <w:rFonts w:hint="eastAsia" w:ascii="宋体" w:hAnsi="宋体" w:eastAsia="宋体" w:cs="宋体"/>
          <w:highlight w:val="none"/>
        </w:rPr>
        <w:t>注：投标报价包括产品货款、人工费、材料费、运输费、装卸费、安装费、管理费、利润、规费、税金、政策性文件规定及合同包含的所有风险责任等完成本项目的所有费用。</w:t>
      </w:r>
    </w:p>
    <w:p w14:paraId="09F9C0B7">
      <w:pPr>
        <w:pStyle w:val="42"/>
        <w:ind w:firstLine="482"/>
        <w:rPr>
          <w:rFonts w:hint="eastAsia" w:ascii="宋体" w:hAnsi="宋体" w:eastAsia="宋体" w:cs="宋体"/>
          <w:b/>
          <w:bCs/>
          <w:highlight w:val="none"/>
        </w:rPr>
      </w:pPr>
      <w:r>
        <w:rPr>
          <w:rFonts w:hint="eastAsia" w:ascii="宋体" w:hAnsi="宋体" w:eastAsia="宋体" w:cs="宋体"/>
          <w:b/>
          <w:bCs/>
          <w:highlight w:val="none"/>
        </w:rPr>
        <w:t xml:space="preserve">三、服务要求 </w:t>
      </w:r>
    </w:p>
    <w:p w14:paraId="4D62EDBE">
      <w:pPr>
        <w:pStyle w:val="5"/>
        <w:tabs>
          <w:tab w:val="left" w:pos="0"/>
        </w:tabs>
        <w:spacing w:line="276" w:lineRule="auto"/>
        <w:ind w:firstLine="44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3.1服务要求</w:t>
      </w:r>
    </w:p>
    <w:p w14:paraId="5E823F3A">
      <w:pPr>
        <w:pStyle w:val="42"/>
        <w:ind w:firstLine="0" w:firstLineChars="0"/>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按照磋商文件中的相关服务要求</w:t>
      </w:r>
      <w:r>
        <w:rPr>
          <w:rFonts w:hint="eastAsia" w:ascii="宋体" w:hAnsi="宋体" w:eastAsia="宋体" w:cs="宋体"/>
          <w:b/>
          <w:bCs/>
          <w:highlight w:val="none"/>
          <w:lang w:val="en-US" w:eastAsia="zh-CN"/>
        </w:rPr>
        <w:t>。</w:t>
      </w:r>
    </w:p>
    <w:p w14:paraId="410A148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四、</w:t>
      </w:r>
      <w:r>
        <w:rPr>
          <w:rFonts w:hint="eastAsia" w:ascii="宋体" w:hAnsi="宋体" w:eastAsia="宋体" w:cs="宋体"/>
          <w:b/>
          <w:bCs/>
          <w:highlight w:val="none"/>
          <w:lang w:val="en-US" w:eastAsia="zh-CN"/>
        </w:rPr>
        <w:t>工期</w:t>
      </w:r>
      <w:r>
        <w:rPr>
          <w:rFonts w:hint="eastAsia" w:ascii="宋体" w:hAnsi="宋体" w:eastAsia="宋体" w:cs="宋体"/>
          <w:b/>
          <w:bCs/>
          <w:highlight w:val="none"/>
        </w:rPr>
        <w:t xml:space="preserve"> </w:t>
      </w:r>
    </w:p>
    <w:p w14:paraId="3AC17F24">
      <w:pPr>
        <w:pStyle w:val="42"/>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val="en-US" w:eastAsia="zh-CN"/>
        </w:rPr>
        <w:t>项目服务期</w:t>
      </w:r>
      <w:r>
        <w:rPr>
          <w:rFonts w:hint="eastAsia" w:ascii="宋体" w:hAnsi="宋体" w:eastAsia="宋体" w:cs="宋体"/>
          <w:highlight w:val="none"/>
        </w:rPr>
        <w:t>为</w:t>
      </w:r>
      <w:r>
        <w:rPr>
          <w:rFonts w:hint="eastAsia" w:ascii="宋体" w:hAnsi="宋体" w:eastAsia="宋体" w:cs="宋体"/>
          <w:highlight w:val="none"/>
          <w:lang w:val="en-US" w:eastAsia="zh-CN"/>
        </w:rPr>
        <w:t xml:space="preserve">   日</w:t>
      </w:r>
      <w:r>
        <w:rPr>
          <w:rFonts w:hint="eastAsia" w:ascii="宋体" w:hAnsi="宋体" w:eastAsia="宋体" w:cs="宋体"/>
          <w:highlight w:val="none"/>
        </w:rPr>
        <w:t>，自  年  月  日至   年  月   日止。</w:t>
      </w:r>
    </w:p>
    <w:p w14:paraId="2C375F99">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五、验收要求 </w:t>
      </w:r>
    </w:p>
    <w:p w14:paraId="635B2A0D">
      <w:pPr>
        <w:pStyle w:val="42"/>
        <w:rPr>
          <w:rFonts w:hint="eastAsia" w:ascii="宋体" w:hAnsi="宋体" w:eastAsia="宋体" w:cs="宋体"/>
          <w:highlight w:val="none"/>
        </w:rPr>
      </w:pPr>
      <w:r>
        <w:rPr>
          <w:rFonts w:hint="eastAsia" w:ascii="宋体" w:hAnsi="宋体" w:eastAsia="宋体" w:cs="宋体"/>
          <w:highlight w:val="none"/>
        </w:rPr>
        <w:t xml:space="preserve">1、由甲方负责进行验收。 </w:t>
      </w:r>
    </w:p>
    <w:p w14:paraId="3B691AC7">
      <w:pPr>
        <w:pStyle w:val="42"/>
        <w:rPr>
          <w:rFonts w:hint="eastAsia" w:ascii="宋体" w:hAnsi="宋体" w:eastAsia="宋体" w:cs="宋体"/>
          <w:highlight w:val="none"/>
        </w:rPr>
      </w:pPr>
      <w:r>
        <w:rPr>
          <w:rFonts w:hint="eastAsia" w:ascii="宋体" w:hAnsi="宋体" w:eastAsia="宋体" w:cs="宋体"/>
          <w:highlight w:val="none"/>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2"/>
        <w:rPr>
          <w:rFonts w:hint="eastAsia" w:ascii="宋体" w:hAnsi="宋体" w:eastAsia="宋体" w:cs="宋体"/>
          <w:highlight w:val="none"/>
        </w:rPr>
      </w:pPr>
      <w:r>
        <w:rPr>
          <w:rFonts w:hint="eastAsia" w:ascii="宋体" w:hAnsi="宋体" w:eastAsia="宋体" w:cs="宋体"/>
          <w:highlight w:val="none"/>
        </w:rPr>
        <w:t xml:space="preserve">3、如对所供货品的品质有疑义，甲方将货品送至相关质检机构进行检测，如经检测不能达到国家合格标准，乙方须无条件更换并支付检测费用。 </w:t>
      </w:r>
    </w:p>
    <w:p w14:paraId="6F56B81D">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六、售后服务要求 </w:t>
      </w:r>
    </w:p>
    <w:p w14:paraId="6CE21576">
      <w:pPr>
        <w:pStyle w:val="42"/>
        <w:rPr>
          <w:rFonts w:hint="eastAsia" w:ascii="宋体" w:hAnsi="宋体" w:eastAsia="宋体" w:cs="宋体"/>
          <w:highlight w:val="none"/>
        </w:rPr>
      </w:pPr>
      <w:r>
        <w:rPr>
          <w:rFonts w:hint="eastAsia" w:ascii="宋体" w:hAnsi="宋体" w:eastAsia="宋体" w:cs="宋体"/>
          <w:highlight w:val="none"/>
        </w:rPr>
        <w:t xml:space="preserve">1、交货的同时应提供合格证及质检证明。 </w:t>
      </w:r>
    </w:p>
    <w:p w14:paraId="385E437B">
      <w:pPr>
        <w:pStyle w:val="42"/>
        <w:rPr>
          <w:rFonts w:hint="eastAsia" w:ascii="宋体" w:hAnsi="宋体" w:eastAsia="宋体" w:cs="宋体"/>
          <w:highlight w:val="none"/>
        </w:rPr>
      </w:pPr>
      <w:r>
        <w:rPr>
          <w:rFonts w:hint="eastAsia" w:ascii="宋体" w:hAnsi="宋体" w:eastAsia="宋体" w:cs="宋体"/>
          <w:highlight w:val="none"/>
        </w:rPr>
        <w:t xml:space="preserve">2、产品销售后，如出现质量问题，无条件包退包换。 </w:t>
      </w:r>
    </w:p>
    <w:p w14:paraId="134FAA04">
      <w:pPr>
        <w:pStyle w:val="42"/>
        <w:rPr>
          <w:rFonts w:hint="eastAsia" w:ascii="宋体" w:hAnsi="宋体" w:eastAsia="宋体" w:cs="宋体"/>
          <w:highlight w:val="none"/>
        </w:rPr>
      </w:pPr>
      <w:r>
        <w:rPr>
          <w:rFonts w:hint="eastAsia" w:ascii="宋体" w:hAnsi="宋体" w:eastAsia="宋体" w:cs="宋体"/>
          <w:highlight w:val="none"/>
        </w:rPr>
        <w:t>3、如接到甲方投诉，乙方须在</w:t>
      </w:r>
      <w:r>
        <w:rPr>
          <w:rFonts w:hint="eastAsia" w:ascii="宋体" w:hAnsi="宋体" w:eastAsia="宋体" w:cs="宋体"/>
          <w:highlight w:val="none"/>
          <w:lang w:val="en-US" w:eastAsia="zh-CN"/>
        </w:rPr>
        <w:t>1</w:t>
      </w:r>
      <w:r>
        <w:rPr>
          <w:rFonts w:hint="eastAsia" w:ascii="宋体" w:hAnsi="宋体" w:eastAsia="宋体" w:cs="宋体"/>
          <w:highlight w:val="none"/>
        </w:rPr>
        <w:t xml:space="preserve">小时内赴现场察看，主动协商，妥善解决，直到甲方满意为止。 </w:t>
      </w:r>
    </w:p>
    <w:p w14:paraId="723A173E">
      <w:pPr>
        <w:pStyle w:val="42"/>
        <w:rPr>
          <w:rFonts w:hint="eastAsia" w:ascii="宋体" w:hAnsi="宋体" w:eastAsia="宋体" w:cs="宋体"/>
          <w:highlight w:val="none"/>
        </w:rPr>
      </w:pPr>
      <w:r>
        <w:rPr>
          <w:rFonts w:hint="eastAsia" w:ascii="宋体" w:hAnsi="宋体" w:eastAsia="宋体" w:cs="宋体"/>
          <w:highlight w:val="none"/>
        </w:rPr>
        <w:t>4、所投产品质保期为</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个月。 </w:t>
      </w:r>
    </w:p>
    <w:p w14:paraId="399AA3C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七、合同价款的支付 </w:t>
      </w:r>
    </w:p>
    <w:p w14:paraId="7C89E5AD">
      <w:pPr>
        <w:pStyle w:val="42"/>
        <w:rPr>
          <w:rFonts w:hint="eastAsia" w:ascii="宋体" w:hAnsi="宋体" w:eastAsia="宋体" w:cs="宋体"/>
          <w:highlight w:val="none"/>
        </w:rPr>
      </w:pPr>
      <w:r>
        <w:rPr>
          <w:rFonts w:hint="eastAsia" w:ascii="宋体" w:hAnsi="宋体" w:eastAsia="宋体" w:cs="宋体"/>
          <w:highlight w:val="none"/>
        </w:rPr>
        <w:t xml:space="preserve">1、本合同中甲乙双方之间所发生的一切费用以人民币进行结算。 </w:t>
      </w:r>
    </w:p>
    <w:p w14:paraId="513D1CA0">
      <w:pPr>
        <w:pStyle w:val="42"/>
        <w:rPr>
          <w:rFonts w:hint="eastAsia" w:ascii="宋体" w:hAnsi="宋体" w:eastAsia="宋体" w:cs="宋体"/>
          <w:highlight w:val="none"/>
        </w:rPr>
      </w:pPr>
      <w:r>
        <w:rPr>
          <w:rFonts w:hint="eastAsia" w:ascii="宋体" w:hAnsi="宋体" w:eastAsia="宋体" w:cs="宋体"/>
          <w:highlight w:val="none"/>
        </w:rPr>
        <w:t xml:space="preserve">2、支付方式： </w:t>
      </w:r>
    </w:p>
    <w:p w14:paraId="30800CDA">
      <w:pPr>
        <w:pStyle w:val="42"/>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按实结算</w:t>
      </w:r>
      <w:r>
        <w:rPr>
          <w:rFonts w:hint="eastAsia" w:ascii="宋体" w:hAnsi="宋体" w:eastAsia="宋体" w:cs="宋体"/>
          <w:highlight w:val="none"/>
        </w:rPr>
        <w:t>。</w:t>
      </w:r>
    </w:p>
    <w:p w14:paraId="3B79E229">
      <w:pPr>
        <w:pStyle w:val="42"/>
        <w:rPr>
          <w:rFonts w:hint="eastAsia" w:ascii="宋体" w:hAnsi="宋体" w:eastAsia="宋体" w:cs="宋体"/>
          <w:highlight w:val="none"/>
        </w:rPr>
      </w:pPr>
      <w:r>
        <w:rPr>
          <w:rFonts w:hint="eastAsia" w:ascii="宋体" w:hAnsi="宋体" w:eastAsia="宋体" w:cs="宋体"/>
          <w:highlight w:val="none"/>
        </w:rPr>
        <w:t>（2）甲方在收到乙方开具的送货单和有效发票后30天内，转账支付货款。</w:t>
      </w:r>
    </w:p>
    <w:p w14:paraId="4DE60600">
      <w:pPr>
        <w:pStyle w:val="42"/>
        <w:rPr>
          <w:rFonts w:hint="eastAsia" w:ascii="宋体" w:hAnsi="宋体" w:eastAsia="宋体" w:cs="宋体"/>
          <w:highlight w:val="none"/>
        </w:rPr>
      </w:pPr>
      <w:r>
        <w:rPr>
          <w:rFonts w:hint="eastAsia" w:ascii="宋体" w:hAnsi="宋体" w:eastAsia="宋体" w:cs="宋体"/>
          <w:highlight w:val="none"/>
        </w:rPr>
        <w:t xml:space="preserve">3、甲方应付合同款至以下乙方指定的银行账户： </w:t>
      </w:r>
    </w:p>
    <w:p w14:paraId="0C81164E">
      <w:pPr>
        <w:pStyle w:val="42"/>
        <w:rPr>
          <w:rFonts w:hint="eastAsia" w:ascii="宋体" w:hAnsi="宋体" w:eastAsia="宋体" w:cs="宋体"/>
          <w:highlight w:val="none"/>
        </w:rPr>
      </w:pPr>
      <w:r>
        <w:rPr>
          <w:rFonts w:hint="eastAsia" w:ascii="宋体" w:hAnsi="宋体" w:eastAsia="宋体" w:cs="宋体"/>
          <w:highlight w:val="none"/>
        </w:rPr>
        <w:t>开户名称：</w:t>
      </w:r>
      <w:r>
        <w:rPr>
          <w:rFonts w:hint="eastAsia" w:ascii="宋体" w:hAnsi="宋体" w:eastAsia="宋体" w:cs="宋体"/>
          <w:highlight w:val="none"/>
          <w:u w:val="single"/>
        </w:rPr>
        <w:t xml:space="preserve">                      </w:t>
      </w:r>
    </w:p>
    <w:p w14:paraId="4F415BD1">
      <w:pPr>
        <w:pStyle w:val="42"/>
        <w:rPr>
          <w:rFonts w:hint="eastAsia"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u w:val="single"/>
        </w:rPr>
        <w:t xml:space="preserve">                      </w:t>
      </w:r>
    </w:p>
    <w:p w14:paraId="196C4495">
      <w:pPr>
        <w:pStyle w:val="42"/>
        <w:rPr>
          <w:rFonts w:hint="eastAsia" w:ascii="宋体" w:hAnsi="宋体" w:eastAsia="宋体" w:cs="宋体"/>
          <w:highlight w:val="none"/>
        </w:rPr>
      </w:pPr>
      <w:r>
        <w:rPr>
          <w:rFonts w:hint="eastAsia" w:ascii="宋体" w:hAnsi="宋体" w:eastAsia="宋体" w:cs="宋体"/>
          <w:highlight w:val="none"/>
        </w:rPr>
        <w:t>账    号：</w:t>
      </w:r>
      <w:r>
        <w:rPr>
          <w:rFonts w:hint="eastAsia" w:ascii="宋体" w:hAnsi="宋体" w:eastAsia="宋体" w:cs="宋体"/>
          <w:highlight w:val="none"/>
          <w:u w:val="single"/>
        </w:rPr>
        <w:t xml:space="preserve">                      </w:t>
      </w:r>
    </w:p>
    <w:p w14:paraId="698FD1E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八、合同变更 </w:t>
      </w:r>
    </w:p>
    <w:p w14:paraId="4D759471">
      <w:pPr>
        <w:pStyle w:val="42"/>
        <w:rPr>
          <w:rFonts w:hint="eastAsia" w:ascii="宋体" w:hAnsi="宋体" w:eastAsia="宋体" w:cs="宋体"/>
          <w:highlight w:val="none"/>
        </w:rPr>
      </w:pPr>
      <w:r>
        <w:rPr>
          <w:rFonts w:hint="eastAsia" w:ascii="宋体" w:hAnsi="宋体" w:eastAsia="宋体" w:cs="宋体"/>
          <w:highlight w:val="none"/>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2"/>
        <w:rPr>
          <w:rFonts w:hint="eastAsia" w:ascii="宋体" w:hAnsi="宋体" w:eastAsia="宋体" w:cs="宋体"/>
          <w:highlight w:val="none"/>
        </w:rPr>
      </w:pPr>
      <w:r>
        <w:rPr>
          <w:rFonts w:hint="eastAsia" w:ascii="宋体" w:hAnsi="宋体" w:eastAsia="宋体" w:cs="宋体"/>
          <w:highlight w:val="none"/>
        </w:rPr>
        <w:t xml:space="preserve">2、有下列情形之一的，双方协商一致可以变更合同： </w:t>
      </w:r>
    </w:p>
    <w:p w14:paraId="6C235A0D">
      <w:pPr>
        <w:pStyle w:val="42"/>
        <w:rPr>
          <w:rFonts w:hint="eastAsia" w:ascii="宋体" w:hAnsi="宋体" w:eastAsia="宋体" w:cs="宋体"/>
          <w:highlight w:val="none"/>
        </w:rPr>
      </w:pPr>
      <w:r>
        <w:rPr>
          <w:rFonts w:hint="eastAsia" w:ascii="宋体" w:hAnsi="宋体" w:eastAsia="宋体" w:cs="宋体"/>
          <w:highlight w:val="none"/>
        </w:rPr>
        <w:t>（1）发生不可预见的紧急情况，继续按照原合同履行不能实现采购目的，又不能从其他供应商处采购；</w:t>
      </w:r>
    </w:p>
    <w:p w14:paraId="23428934">
      <w:pPr>
        <w:pStyle w:val="42"/>
        <w:rPr>
          <w:rFonts w:hint="eastAsia" w:ascii="宋体" w:hAnsi="宋体" w:eastAsia="宋体" w:cs="宋体"/>
          <w:highlight w:val="none"/>
        </w:rPr>
      </w:pPr>
      <w:r>
        <w:rPr>
          <w:rFonts w:hint="eastAsia" w:ascii="宋体" w:hAnsi="宋体" w:eastAsia="宋体" w:cs="宋体"/>
          <w:highlight w:val="none"/>
        </w:rPr>
        <w:t xml:space="preserve">（2）因甲方的过错导致不能实现采购目的，重新采购费用和违约金、违约损失赔偿金额占合同金额比例过大，但违背社会公共利益的除外； </w:t>
      </w:r>
    </w:p>
    <w:p w14:paraId="4A9659B2">
      <w:pPr>
        <w:pStyle w:val="42"/>
        <w:rPr>
          <w:rFonts w:hint="eastAsia" w:ascii="宋体" w:hAnsi="宋体" w:eastAsia="宋体" w:cs="宋体"/>
          <w:highlight w:val="none"/>
        </w:rPr>
      </w:pPr>
      <w:r>
        <w:rPr>
          <w:rFonts w:hint="eastAsia" w:ascii="宋体" w:hAnsi="宋体" w:eastAsia="宋体" w:cs="宋体"/>
          <w:highlight w:val="none"/>
        </w:rPr>
        <w:t xml:space="preserve">（3）属于合同主要条款确定的事项，但变更不改变合同实质性内容； </w:t>
      </w:r>
    </w:p>
    <w:p w14:paraId="04FBD849">
      <w:pPr>
        <w:pStyle w:val="42"/>
        <w:rPr>
          <w:rFonts w:hint="eastAsia" w:ascii="宋体" w:hAnsi="宋体" w:eastAsia="宋体" w:cs="宋体"/>
          <w:highlight w:val="none"/>
        </w:rPr>
      </w:pPr>
      <w:r>
        <w:rPr>
          <w:rFonts w:hint="eastAsia" w:ascii="宋体" w:hAnsi="宋体" w:eastAsia="宋体" w:cs="宋体"/>
          <w:highlight w:val="none"/>
        </w:rPr>
        <w:t xml:space="preserve">（4）合同主要条款以外的内容； </w:t>
      </w:r>
    </w:p>
    <w:p w14:paraId="4CA51B18">
      <w:pPr>
        <w:pStyle w:val="42"/>
        <w:rPr>
          <w:rFonts w:hint="eastAsia" w:ascii="宋体" w:hAnsi="宋体" w:eastAsia="宋体" w:cs="宋体"/>
          <w:highlight w:val="none"/>
        </w:rPr>
      </w:pPr>
      <w:r>
        <w:rPr>
          <w:rFonts w:hint="eastAsia" w:ascii="宋体" w:hAnsi="宋体" w:eastAsia="宋体" w:cs="宋体"/>
          <w:highlight w:val="none"/>
        </w:rPr>
        <w:t xml:space="preserve">（5）法律、法规规定可以变更合同的其他情形。 </w:t>
      </w:r>
    </w:p>
    <w:p w14:paraId="750D58DC">
      <w:pPr>
        <w:pStyle w:val="42"/>
        <w:rPr>
          <w:rFonts w:hint="eastAsia" w:ascii="宋体" w:hAnsi="宋体" w:eastAsia="宋体" w:cs="宋体"/>
          <w:highlight w:val="none"/>
        </w:rPr>
      </w:pPr>
      <w:r>
        <w:rPr>
          <w:rFonts w:hint="eastAsia" w:ascii="宋体" w:hAnsi="宋体" w:eastAsia="宋体" w:cs="宋体"/>
          <w:highlight w:val="none"/>
        </w:rPr>
        <w:t xml:space="preserve">3、当事人协商一致变更合同的，应当报同级财政部门备案。 </w:t>
      </w:r>
    </w:p>
    <w:p w14:paraId="1C16D46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九、转让和分包 </w:t>
      </w:r>
    </w:p>
    <w:p w14:paraId="32DF3D39">
      <w:pPr>
        <w:pStyle w:val="42"/>
        <w:rPr>
          <w:rFonts w:hint="eastAsia" w:ascii="宋体" w:hAnsi="宋体" w:eastAsia="宋体" w:cs="宋体"/>
          <w:highlight w:val="none"/>
        </w:rPr>
      </w:pPr>
      <w:r>
        <w:rPr>
          <w:rFonts w:hint="eastAsia" w:ascii="宋体" w:hAnsi="宋体" w:eastAsia="宋体" w:cs="宋体"/>
          <w:highlight w:val="none"/>
        </w:rPr>
        <w:t>1、本项目不得分包。</w:t>
      </w:r>
    </w:p>
    <w:p w14:paraId="393C8A5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十、通知 </w:t>
      </w:r>
    </w:p>
    <w:p w14:paraId="62936B17">
      <w:pPr>
        <w:pStyle w:val="42"/>
        <w:rPr>
          <w:rFonts w:hint="eastAsia" w:ascii="宋体" w:hAnsi="宋体" w:eastAsia="宋体" w:cs="宋体"/>
          <w:highlight w:val="none"/>
        </w:rPr>
      </w:pPr>
      <w:r>
        <w:rPr>
          <w:rFonts w:hint="eastAsia" w:ascii="宋体" w:hAnsi="宋体" w:eastAsia="宋体" w:cs="宋体"/>
          <w:highlight w:val="none"/>
        </w:rPr>
        <w:t xml:space="preserve">本合同任何一方给另一方的通知，都应以书面形式发送，而另一方也应以书面形式确认并发送到对方明确的地址。 </w:t>
      </w:r>
    </w:p>
    <w:p w14:paraId="4C80427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十一、计量单位 </w:t>
      </w:r>
    </w:p>
    <w:p w14:paraId="6F83E69D">
      <w:pPr>
        <w:pStyle w:val="42"/>
        <w:rPr>
          <w:rFonts w:hint="eastAsia" w:ascii="宋体" w:hAnsi="宋体" w:eastAsia="宋体" w:cs="宋体"/>
          <w:highlight w:val="none"/>
        </w:rPr>
      </w:pPr>
      <w:r>
        <w:rPr>
          <w:rFonts w:hint="eastAsia" w:ascii="宋体" w:hAnsi="宋体" w:eastAsia="宋体" w:cs="宋体"/>
          <w:highlight w:val="none"/>
        </w:rPr>
        <w:t xml:space="preserve">除技术规范中另有规定外，计量单位均使用国家法定计量单位。 </w:t>
      </w:r>
    </w:p>
    <w:p w14:paraId="3233052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十二、不可抗力 </w:t>
      </w:r>
    </w:p>
    <w:p w14:paraId="6A5892A3">
      <w:pPr>
        <w:pStyle w:val="42"/>
        <w:rPr>
          <w:rFonts w:hint="eastAsia" w:ascii="宋体" w:hAnsi="宋体" w:eastAsia="宋体" w:cs="宋体"/>
          <w:highlight w:val="none"/>
        </w:rPr>
      </w:pPr>
      <w:r>
        <w:rPr>
          <w:rFonts w:hint="eastAsia" w:ascii="宋体" w:hAnsi="宋体" w:eastAsia="宋体" w:cs="宋体"/>
          <w:highlight w:val="none"/>
        </w:rPr>
        <w:t xml:space="preserve">1、如果双方中任何一方遭遇法律规定的不可抗力，致使合同履行受阻时，履行合同的期限应予延长，延长的期限应相当于不可抗力所影响的时间。 </w:t>
      </w:r>
    </w:p>
    <w:p w14:paraId="62FE5446">
      <w:pPr>
        <w:pStyle w:val="42"/>
        <w:rPr>
          <w:rFonts w:hint="eastAsia" w:ascii="宋体" w:hAnsi="宋体" w:eastAsia="宋体" w:cs="宋体"/>
          <w:highlight w:val="none"/>
        </w:rPr>
      </w:pPr>
      <w:r>
        <w:rPr>
          <w:rFonts w:hint="eastAsia" w:ascii="宋体" w:hAnsi="宋体" w:eastAsia="宋体" w:cs="宋体"/>
          <w:highlight w:val="none"/>
        </w:rPr>
        <w:t xml:space="preserve">2、受事故影响的一方应在不可抗力的事故发生后尽快书面形式通知另一方，并在事故发生后合同规定时间内，将有关部门出具的证明文件送达另一方。 </w:t>
      </w:r>
    </w:p>
    <w:p w14:paraId="51F3F232">
      <w:pPr>
        <w:pStyle w:val="42"/>
        <w:rPr>
          <w:rFonts w:hint="eastAsia" w:ascii="宋体" w:hAnsi="宋体" w:eastAsia="宋体" w:cs="宋体"/>
          <w:highlight w:val="none"/>
        </w:rPr>
      </w:pPr>
      <w:r>
        <w:rPr>
          <w:rFonts w:hint="eastAsia" w:ascii="宋体" w:hAnsi="宋体" w:eastAsia="宋体" w:cs="宋体"/>
          <w:highlight w:val="none"/>
        </w:rPr>
        <w:t xml:space="preserve">3、不可抗力使合同的某些内容有变更必要的，双方应通过协商达成进一步履行合同的协议，因不可抗力致使合同不能履行的，合同终止。 </w:t>
      </w:r>
    </w:p>
    <w:p w14:paraId="169F502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十三、双方职责 </w:t>
      </w:r>
    </w:p>
    <w:p w14:paraId="78D33997">
      <w:pPr>
        <w:pStyle w:val="42"/>
        <w:rPr>
          <w:rFonts w:hint="eastAsia" w:ascii="宋体" w:hAnsi="宋体" w:eastAsia="宋体" w:cs="宋体"/>
          <w:highlight w:val="none"/>
        </w:rPr>
      </w:pPr>
      <w:r>
        <w:rPr>
          <w:rFonts w:hint="eastAsia" w:ascii="宋体" w:hAnsi="宋体" w:eastAsia="宋体" w:cs="宋体"/>
          <w:highlight w:val="none"/>
        </w:rPr>
        <w:t xml:space="preserve">1、甲方的责任： </w:t>
      </w:r>
    </w:p>
    <w:p w14:paraId="5A5549FE">
      <w:pPr>
        <w:pStyle w:val="42"/>
        <w:rPr>
          <w:rFonts w:hint="eastAsia" w:ascii="宋体" w:hAnsi="宋体" w:eastAsia="宋体" w:cs="宋体"/>
          <w:highlight w:val="none"/>
        </w:rPr>
      </w:pPr>
      <w:r>
        <w:rPr>
          <w:rFonts w:hint="eastAsia" w:ascii="宋体" w:hAnsi="宋体" w:eastAsia="宋体" w:cs="宋体"/>
          <w:highlight w:val="none"/>
        </w:rPr>
        <w:t xml:space="preserve">（1）甲方必须按合同规定按时支付合同款项； </w:t>
      </w:r>
    </w:p>
    <w:p w14:paraId="15048418">
      <w:pPr>
        <w:pStyle w:val="42"/>
        <w:rPr>
          <w:rFonts w:hint="eastAsia" w:ascii="宋体" w:hAnsi="宋体" w:eastAsia="宋体" w:cs="宋体"/>
          <w:highlight w:val="none"/>
        </w:rPr>
      </w:pPr>
      <w:r>
        <w:rPr>
          <w:rFonts w:hint="eastAsia" w:ascii="宋体" w:hAnsi="宋体" w:eastAsia="宋体" w:cs="宋体"/>
          <w:highlight w:val="none"/>
        </w:rPr>
        <w:t xml:space="preserve">（2）对乙方的服务质量和服务内容进行考核确认； </w:t>
      </w:r>
    </w:p>
    <w:p w14:paraId="694C58FE">
      <w:pPr>
        <w:pStyle w:val="42"/>
        <w:rPr>
          <w:rFonts w:hint="eastAsia" w:ascii="宋体" w:hAnsi="宋体" w:eastAsia="宋体" w:cs="宋体"/>
          <w:highlight w:val="none"/>
        </w:rPr>
      </w:pPr>
      <w:r>
        <w:rPr>
          <w:rFonts w:hint="eastAsia" w:ascii="宋体" w:hAnsi="宋体" w:eastAsia="宋体" w:cs="宋体"/>
          <w:highlight w:val="none"/>
        </w:rPr>
        <w:t xml:space="preserve">（3）服务期间甲方应负责对乙方所需的用电、用水等给予积极配合； </w:t>
      </w:r>
    </w:p>
    <w:p w14:paraId="30FF0508">
      <w:pPr>
        <w:pStyle w:val="42"/>
        <w:rPr>
          <w:rFonts w:hint="eastAsia" w:ascii="宋体" w:hAnsi="宋体" w:eastAsia="宋体" w:cs="宋体"/>
          <w:highlight w:val="none"/>
        </w:rPr>
      </w:pPr>
      <w:r>
        <w:rPr>
          <w:rFonts w:hint="eastAsia" w:ascii="宋体" w:hAnsi="宋体" w:eastAsia="宋体" w:cs="宋体"/>
          <w:highlight w:val="none"/>
        </w:rPr>
        <w:t xml:space="preserve">（4）负责项目的监督、检查，并协调乙方进度，安排阶段及总验收事宜； </w:t>
      </w:r>
    </w:p>
    <w:p w14:paraId="4270C7F1">
      <w:pPr>
        <w:pStyle w:val="42"/>
        <w:rPr>
          <w:rFonts w:hint="eastAsia" w:ascii="宋体" w:hAnsi="宋体" w:eastAsia="宋体" w:cs="宋体"/>
          <w:highlight w:val="none"/>
        </w:rPr>
      </w:pPr>
      <w:r>
        <w:rPr>
          <w:rFonts w:hint="eastAsia" w:ascii="宋体" w:hAnsi="宋体" w:eastAsia="宋体" w:cs="宋体"/>
          <w:highlight w:val="none"/>
        </w:rPr>
        <w:t xml:space="preserve">2、乙方的责任： </w:t>
      </w:r>
    </w:p>
    <w:p w14:paraId="7BB33FB0">
      <w:pPr>
        <w:pStyle w:val="42"/>
        <w:rPr>
          <w:rFonts w:hint="eastAsia" w:ascii="宋体" w:hAnsi="宋体" w:eastAsia="宋体" w:cs="宋体"/>
          <w:highlight w:val="none"/>
        </w:rPr>
      </w:pPr>
      <w:r>
        <w:rPr>
          <w:rFonts w:hint="eastAsia" w:ascii="宋体" w:hAnsi="宋体" w:eastAsia="宋体" w:cs="宋体"/>
          <w:highlight w:val="none"/>
        </w:rPr>
        <w:t>（1）服务期间应遵守甲方的各项规章制度，不得影响甲方</w:t>
      </w:r>
      <w:r>
        <w:rPr>
          <w:rFonts w:hint="eastAsia" w:ascii="宋体" w:hAnsi="宋体" w:eastAsia="宋体" w:cs="宋体"/>
          <w:highlight w:val="none"/>
          <w:lang w:val="en-US" w:eastAsia="zh-CN"/>
        </w:rPr>
        <w:t>正常诊疗秩序，不得影响</w:t>
      </w:r>
      <w:r>
        <w:rPr>
          <w:rFonts w:hint="eastAsia" w:ascii="宋体" w:hAnsi="宋体" w:eastAsia="宋体" w:cs="宋体"/>
          <w:highlight w:val="none"/>
        </w:rPr>
        <w:t xml:space="preserve">设备的正常使用和相关科室的正常工作； </w:t>
      </w:r>
    </w:p>
    <w:p w14:paraId="269F4CA8">
      <w:pPr>
        <w:pStyle w:val="42"/>
        <w:rPr>
          <w:rFonts w:hint="eastAsia" w:ascii="宋体" w:hAnsi="宋体" w:eastAsia="宋体" w:cs="宋体"/>
          <w:highlight w:val="none"/>
        </w:rPr>
      </w:pPr>
      <w:r>
        <w:rPr>
          <w:rFonts w:hint="eastAsia" w:ascii="宋体" w:hAnsi="宋体" w:eastAsia="宋体" w:cs="宋体"/>
          <w:highlight w:val="none"/>
        </w:rPr>
        <w:t xml:space="preserve">（2）提供良好的技术人员和工具仪器，最佳的服务质量和态度； </w:t>
      </w:r>
    </w:p>
    <w:p w14:paraId="484C9D7A">
      <w:pPr>
        <w:pStyle w:val="42"/>
        <w:rPr>
          <w:rFonts w:hint="eastAsia" w:ascii="宋体" w:hAnsi="宋体" w:eastAsia="宋体" w:cs="宋体"/>
          <w:highlight w:val="none"/>
        </w:rPr>
      </w:pPr>
      <w:r>
        <w:rPr>
          <w:rFonts w:hint="eastAsia" w:ascii="宋体" w:hAnsi="宋体" w:eastAsia="宋体" w:cs="宋体"/>
          <w:highlight w:val="none"/>
        </w:rPr>
        <w:t xml:space="preserve">（3）服务期间因乙方原因造成设备或配件损坏，乙方应免费负责修复或更换； </w:t>
      </w:r>
    </w:p>
    <w:p w14:paraId="3E421FFF">
      <w:pPr>
        <w:pStyle w:val="42"/>
        <w:rPr>
          <w:rFonts w:hint="eastAsia" w:ascii="宋体" w:hAnsi="宋体" w:eastAsia="宋体" w:cs="宋体"/>
          <w:highlight w:val="none"/>
        </w:rPr>
      </w:pPr>
      <w:r>
        <w:rPr>
          <w:rFonts w:hint="eastAsia" w:ascii="宋体" w:hAnsi="宋体" w:eastAsia="宋体" w:cs="宋体"/>
          <w:highlight w:val="none"/>
        </w:rPr>
        <w:t>（4）每次</w:t>
      </w:r>
      <w:r>
        <w:rPr>
          <w:rFonts w:hint="eastAsia" w:ascii="宋体" w:hAnsi="宋体" w:eastAsia="宋体" w:cs="宋体"/>
          <w:highlight w:val="none"/>
          <w:lang w:val="en-US" w:eastAsia="zh-CN"/>
        </w:rPr>
        <w:t>动工前</w:t>
      </w:r>
      <w:r>
        <w:rPr>
          <w:rFonts w:hint="eastAsia" w:ascii="宋体" w:hAnsi="宋体" w:eastAsia="宋体" w:cs="宋体"/>
          <w:highlight w:val="none"/>
        </w:rPr>
        <w:t>，</w:t>
      </w:r>
      <w:r>
        <w:rPr>
          <w:rFonts w:hint="eastAsia" w:ascii="宋体" w:hAnsi="宋体" w:eastAsia="宋体" w:cs="宋体"/>
          <w:highlight w:val="none"/>
          <w:lang w:val="en-US" w:eastAsia="zh-CN"/>
        </w:rPr>
        <w:t>涉及动火动气等特种操作的，需提前审批动火动气等相关手续，未经许可不许操作；</w:t>
      </w:r>
      <w:r>
        <w:rPr>
          <w:rFonts w:hint="eastAsia" w:ascii="宋体" w:hAnsi="宋体" w:eastAsia="宋体" w:cs="宋体"/>
          <w:highlight w:val="none"/>
        </w:rPr>
        <w:t xml:space="preserve"> </w:t>
      </w:r>
    </w:p>
    <w:p w14:paraId="52906D30">
      <w:pPr>
        <w:pStyle w:val="4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乙方需签订《安全生产责任书》</w:t>
      </w:r>
      <w:r>
        <w:rPr>
          <w:rFonts w:hint="eastAsia" w:ascii="宋体" w:hAnsi="宋体" w:eastAsia="宋体" w:cs="宋体"/>
          <w:highlight w:val="none"/>
        </w:rPr>
        <w:t>；</w:t>
      </w:r>
    </w:p>
    <w:p w14:paraId="09B9B032">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十四、违约责任 </w:t>
      </w:r>
    </w:p>
    <w:p w14:paraId="33A914E7">
      <w:pPr>
        <w:pStyle w:val="42"/>
        <w:rPr>
          <w:rFonts w:hint="eastAsia" w:ascii="宋体" w:hAnsi="宋体" w:eastAsia="宋体" w:cs="宋体"/>
          <w:highlight w:val="none"/>
        </w:rPr>
      </w:pPr>
      <w:r>
        <w:rPr>
          <w:rFonts w:hint="eastAsia" w:ascii="宋体" w:hAnsi="宋体" w:eastAsia="宋体" w:cs="宋体"/>
          <w:highlight w:val="none"/>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2"/>
        <w:rPr>
          <w:rFonts w:hint="eastAsia" w:ascii="宋体" w:hAnsi="宋体" w:eastAsia="宋体" w:cs="宋体"/>
          <w:highlight w:val="none"/>
        </w:rPr>
      </w:pPr>
      <w:r>
        <w:rPr>
          <w:rFonts w:hint="eastAsia" w:ascii="宋体" w:hAnsi="宋体" w:eastAsia="宋体" w:cs="宋体"/>
          <w:highlight w:val="none"/>
        </w:rPr>
        <w:t>2、甲方逾期支付货款的，自逾期之日起，向乙方每日偿付该批次货物合同价款 万分之五的违约金。</w:t>
      </w:r>
    </w:p>
    <w:p w14:paraId="59A59CB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十五、解决争议的方法 </w:t>
      </w:r>
    </w:p>
    <w:p w14:paraId="417A85A1">
      <w:pPr>
        <w:pStyle w:val="42"/>
        <w:rPr>
          <w:rFonts w:hint="eastAsia" w:ascii="宋体" w:hAnsi="宋体" w:eastAsia="宋体" w:cs="宋体"/>
          <w:highlight w:val="none"/>
        </w:rPr>
      </w:pPr>
      <w:r>
        <w:rPr>
          <w:rFonts w:hint="eastAsia" w:ascii="宋体" w:hAnsi="宋体" w:eastAsia="宋体" w:cs="宋体"/>
          <w:highlight w:val="none"/>
        </w:rPr>
        <w:t xml:space="preserve">本合同在履行过程中发生的争议，由双方当事人协商解决，协商不成的依法向甲方所在地人民法院起诉。 </w:t>
      </w:r>
    </w:p>
    <w:p w14:paraId="14654736">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十六、合同的生效及其他 </w:t>
      </w:r>
    </w:p>
    <w:p w14:paraId="0C698E4E">
      <w:pPr>
        <w:pStyle w:val="42"/>
        <w:rPr>
          <w:rFonts w:hint="eastAsia" w:ascii="宋体" w:hAnsi="宋体" w:eastAsia="宋体" w:cs="宋体"/>
          <w:highlight w:val="none"/>
        </w:rPr>
      </w:pPr>
      <w:r>
        <w:rPr>
          <w:rFonts w:hint="eastAsia" w:ascii="宋体" w:hAnsi="宋体" w:eastAsia="宋体" w:cs="宋体"/>
          <w:highlight w:val="none"/>
        </w:rPr>
        <w:t>政府采购项目的采购合同内容的确定应以采购文件和磋商响应文件为基础，不得违背其实质性内容。</w:t>
      </w:r>
    </w:p>
    <w:p w14:paraId="4884F5D7">
      <w:pPr>
        <w:pStyle w:val="42"/>
        <w:rPr>
          <w:rFonts w:hint="eastAsia" w:ascii="宋体" w:hAnsi="宋体" w:eastAsia="宋体" w:cs="宋体"/>
          <w:highlight w:val="none"/>
        </w:rPr>
      </w:pPr>
      <w:r>
        <w:rPr>
          <w:rFonts w:hint="eastAsia" w:ascii="宋体" w:hAnsi="宋体" w:eastAsia="宋体" w:cs="宋体"/>
          <w:highlight w:val="none"/>
        </w:rPr>
        <w:t xml:space="preserve">合同将在双方签字盖章后开始生效。授权代表签署的后附法定代表人授权书。 </w:t>
      </w:r>
    </w:p>
    <w:p w14:paraId="2FD8191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十七、廉政条款 </w:t>
      </w:r>
    </w:p>
    <w:p w14:paraId="104754FC">
      <w:pPr>
        <w:pStyle w:val="42"/>
        <w:rPr>
          <w:rFonts w:hint="eastAsia" w:ascii="宋体" w:hAnsi="宋体" w:eastAsia="宋体" w:cs="宋体"/>
          <w:highlight w:val="none"/>
        </w:rPr>
      </w:pPr>
      <w:r>
        <w:rPr>
          <w:rFonts w:hint="eastAsia" w:ascii="宋体" w:hAnsi="宋体" w:eastAsia="宋体" w:cs="宋体"/>
          <w:highlight w:val="none"/>
        </w:rPr>
        <w:t xml:space="preserve">1、甲乙双方应严格遵守《医疗机构工作人员廉洁从业九项准则》及相关法律法规。 </w:t>
      </w:r>
    </w:p>
    <w:p w14:paraId="1B9401EB">
      <w:pPr>
        <w:pStyle w:val="42"/>
        <w:rPr>
          <w:rFonts w:hint="eastAsia" w:ascii="宋体" w:hAnsi="宋体" w:eastAsia="宋体" w:cs="宋体"/>
          <w:highlight w:val="none"/>
        </w:rPr>
      </w:pPr>
      <w:r>
        <w:rPr>
          <w:rFonts w:hint="eastAsia" w:ascii="宋体" w:hAnsi="宋体" w:eastAsia="宋体" w:cs="宋体"/>
          <w:highlight w:val="none"/>
        </w:rPr>
        <w:t>2、甲方严禁接受乙方以任何名义、形式给予的回扣，不得将接受捐赠资助与采购挂钩。</w:t>
      </w:r>
    </w:p>
    <w:p w14:paraId="181A5AF5">
      <w:pPr>
        <w:pStyle w:val="42"/>
        <w:rPr>
          <w:rFonts w:hint="eastAsia" w:ascii="宋体" w:hAnsi="宋体" w:eastAsia="宋体" w:cs="宋体"/>
          <w:highlight w:val="none"/>
        </w:rPr>
      </w:pPr>
      <w:r>
        <w:rPr>
          <w:rFonts w:hint="eastAsia" w:ascii="宋体" w:hAnsi="宋体" w:eastAsia="宋体" w:cs="宋体"/>
          <w:highlight w:val="none"/>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2"/>
        <w:rPr>
          <w:rFonts w:hint="eastAsia" w:ascii="宋体" w:hAnsi="宋体" w:eastAsia="宋体" w:cs="宋体"/>
          <w:highlight w:val="none"/>
        </w:rPr>
      </w:pPr>
      <w:r>
        <w:rPr>
          <w:rFonts w:hint="eastAsia" w:ascii="宋体" w:hAnsi="宋体" w:eastAsia="宋体" w:cs="宋体"/>
          <w:highlight w:val="none"/>
        </w:rPr>
        <w:t>4、乙方不得以回扣、宴请等方式影响甲方工作人员采购或使用医药产品的选择权，不得在学术活动中提供旅游、超标准支付食宿费用。</w:t>
      </w:r>
    </w:p>
    <w:p w14:paraId="598CA55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十八、合同份数 </w:t>
      </w:r>
    </w:p>
    <w:p w14:paraId="03B10E8C">
      <w:pPr>
        <w:pStyle w:val="42"/>
        <w:rPr>
          <w:rFonts w:hint="eastAsia" w:ascii="宋体" w:hAnsi="宋体" w:eastAsia="宋体" w:cs="宋体"/>
          <w:highlight w:val="none"/>
        </w:rPr>
      </w:pPr>
      <w:r>
        <w:rPr>
          <w:rFonts w:hint="eastAsia" w:ascii="宋体" w:hAnsi="宋体" w:eastAsia="宋体" w:cs="宋体"/>
          <w:highlight w:val="none"/>
        </w:rPr>
        <w:t>本合同一式</w:t>
      </w:r>
      <w:r>
        <w:rPr>
          <w:rFonts w:hint="eastAsia" w:ascii="宋体" w:hAnsi="宋体" w:eastAsia="宋体" w:cs="宋体"/>
          <w:highlight w:val="none"/>
          <w:u w:val="single"/>
        </w:rPr>
        <w:t xml:space="preserve"> 肆 </w:t>
      </w:r>
      <w:r>
        <w:rPr>
          <w:rFonts w:hint="eastAsia" w:ascii="宋体" w:hAnsi="宋体" w:eastAsia="宋体" w:cs="宋体"/>
          <w:highlight w:val="none"/>
        </w:rPr>
        <w:t>份，甲方执</w:t>
      </w:r>
      <w:r>
        <w:rPr>
          <w:rFonts w:hint="eastAsia" w:ascii="宋体" w:hAnsi="宋体" w:eastAsia="宋体" w:cs="宋体"/>
          <w:highlight w:val="none"/>
          <w:u w:val="single"/>
        </w:rPr>
        <w:t xml:space="preserve"> 贰 </w:t>
      </w:r>
      <w:r>
        <w:rPr>
          <w:rFonts w:hint="eastAsia" w:ascii="宋体" w:hAnsi="宋体" w:eastAsia="宋体" w:cs="宋体"/>
          <w:highlight w:val="none"/>
        </w:rPr>
        <w:t>份，乙方执</w:t>
      </w:r>
      <w:r>
        <w:rPr>
          <w:rFonts w:hint="eastAsia" w:ascii="宋体" w:hAnsi="宋体" w:eastAsia="宋体" w:cs="宋体"/>
          <w:highlight w:val="none"/>
          <w:u w:val="single"/>
        </w:rPr>
        <w:t xml:space="preserve"> 贰 </w:t>
      </w:r>
      <w:r>
        <w:rPr>
          <w:rFonts w:hint="eastAsia" w:ascii="宋体" w:hAnsi="宋体" w:eastAsia="宋体" w:cs="宋体"/>
          <w:highlight w:val="none"/>
        </w:rPr>
        <w:t>份。具同等法律效力。</w:t>
      </w:r>
    </w:p>
    <w:p w14:paraId="3A87CCF4">
      <w:pPr>
        <w:pStyle w:val="42"/>
        <w:rPr>
          <w:rFonts w:hint="eastAsia" w:ascii="宋体" w:hAnsi="宋体" w:eastAsia="宋体" w:cs="宋体"/>
          <w:highlight w:val="none"/>
        </w:rPr>
      </w:pPr>
      <w:r>
        <w:rPr>
          <w:rFonts w:hint="eastAsia" w:ascii="宋体" w:hAnsi="宋体" w:eastAsia="宋体" w:cs="宋体"/>
          <w:highlight w:val="none"/>
        </w:rPr>
        <w:t>（以下无正文）</w:t>
      </w:r>
    </w:p>
    <w:tbl>
      <w:tblPr>
        <w:tblStyle w:val="33"/>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甲方（盖章）：浙江省人民医院</w:t>
            </w:r>
            <w:r>
              <w:rPr>
                <w:rFonts w:hint="eastAsia" w:ascii="宋体" w:hAnsi="宋体" w:eastAsia="宋体" w:cs="宋体"/>
                <w:sz w:val="24"/>
                <w:szCs w:val="24"/>
                <w:highlight w:val="none"/>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c>
          <w:tcPr>
            <w:tcW w:w="4381" w:type="dxa"/>
            <w:noWrap/>
            <w:vAlign w:val="center"/>
          </w:tcPr>
          <w:p w14:paraId="0F9FEED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eastAsia="宋体" w:cs="宋体"/>
                <w:sz w:val="24"/>
                <w:szCs w:val="24"/>
                <w:highlight w:val="none"/>
              </w:rPr>
            </w:pPr>
          </w:p>
        </w:tc>
        <w:tc>
          <w:tcPr>
            <w:tcW w:w="4381" w:type="dxa"/>
            <w:noWrap/>
            <w:vAlign w:val="center"/>
          </w:tcPr>
          <w:p w14:paraId="68B70942">
            <w:pPr>
              <w:snapToGrid w:val="0"/>
              <w:spacing w:line="360" w:lineRule="auto"/>
              <w:rPr>
                <w:rFonts w:hint="eastAsia" w:ascii="宋体" w:hAnsi="宋体" w:eastAsia="宋体" w:cs="宋体"/>
                <w:sz w:val="24"/>
                <w:szCs w:val="24"/>
                <w:highlight w:val="none"/>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381" w:type="dxa"/>
            <w:noWrap/>
            <w:vAlign w:val="center"/>
          </w:tcPr>
          <w:p w14:paraId="0BBB7D4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381" w:type="dxa"/>
            <w:noWrap/>
            <w:vAlign w:val="center"/>
          </w:tcPr>
          <w:p w14:paraId="7575915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381" w:type="dxa"/>
            <w:noWrap/>
            <w:vAlign w:val="center"/>
          </w:tcPr>
          <w:p w14:paraId="1659862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c>
          <w:tcPr>
            <w:tcW w:w="4381" w:type="dxa"/>
            <w:noWrap/>
            <w:vAlign w:val="center"/>
          </w:tcPr>
          <w:p w14:paraId="1ED0783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c>
          <w:tcPr>
            <w:tcW w:w="4381" w:type="dxa"/>
            <w:noWrap/>
            <w:vAlign w:val="center"/>
          </w:tcPr>
          <w:p w14:paraId="3427165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r>
    </w:tbl>
    <w:p w14:paraId="63B7EE11">
      <w:pPr>
        <w:pStyle w:val="17"/>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2234F56B">
      <w:pPr>
        <w:pStyle w:val="18"/>
        <w:ind w:left="5250"/>
        <w:rPr>
          <w:rFonts w:hint="eastAsia" w:ascii="宋体" w:hAnsi="宋体" w:eastAsia="宋体" w:cs="宋体"/>
          <w:highlight w:val="none"/>
        </w:rPr>
      </w:pPr>
    </w:p>
    <w:p w14:paraId="64B7CB48">
      <w:pPr>
        <w:pStyle w:val="4"/>
        <w:rPr>
          <w:rFonts w:hint="eastAsia" w:ascii="宋体" w:hAnsi="宋体" w:eastAsia="宋体" w:cs="宋体"/>
          <w:highlight w:val="none"/>
        </w:rPr>
      </w:pPr>
      <w:r>
        <w:rPr>
          <w:rFonts w:hint="eastAsia" w:ascii="宋体" w:hAnsi="宋体" w:eastAsia="宋体" w:cs="宋体"/>
          <w:highlight w:val="none"/>
        </w:rPr>
        <w:t>第五章 响应文件格式</w:t>
      </w:r>
    </w:p>
    <w:bookmarkEnd w:id="19"/>
    <w:bookmarkEnd w:id="20"/>
    <w:bookmarkEnd w:id="21"/>
    <w:p w14:paraId="79FE78F2">
      <w:pPr>
        <w:pStyle w:val="31"/>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封面</w:t>
      </w:r>
    </w:p>
    <w:p w14:paraId="3272DC6B">
      <w:pPr>
        <w:tabs>
          <w:tab w:val="left" w:pos="2580"/>
          <w:tab w:val="left" w:pos="5940"/>
        </w:tabs>
        <w:autoSpaceDE w:val="0"/>
        <w:autoSpaceDN w:val="0"/>
        <w:adjustRightInd w:val="0"/>
        <w:snapToGrid w:val="0"/>
        <w:spacing w:line="300" w:lineRule="auto"/>
        <w:ind w:right="-20"/>
        <w:jc w:val="right"/>
        <w:rPr>
          <w:rFonts w:hint="eastAsia" w:ascii="宋体" w:hAnsi="宋体" w:eastAsia="宋体" w:cs="宋体"/>
          <w:sz w:val="28"/>
          <w:highlight w:val="none"/>
        </w:rPr>
      </w:pPr>
      <w:r>
        <w:rPr>
          <w:rFonts w:hint="eastAsia" w:ascii="宋体" w:hAnsi="宋体" w:eastAsia="宋体" w:cs="宋体"/>
          <w:sz w:val="28"/>
          <w:highlight w:val="none"/>
        </w:rPr>
        <w:t>正本/副本</w:t>
      </w:r>
    </w:p>
    <w:p w14:paraId="7B7EBC20">
      <w:pPr>
        <w:tabs>
          <w:tab w:val="left" w:pos="2580"/>
          <w:tab w:val="left" w:pos="5940"/>
        </w:tabs>
        <w:autoSpaceDE w:val="0"/>
        <w:autoSpaceDN w:val="0"/>
        <w:adjustRightInd w:val="0"/>
        <w:snapToGrid w:val="0"/>
        <w:spacing w:line="300" w:lineRule="auto"/>
        <w:ind w:right="-20"/>
        <w:rPr>
          <w:rFonts w:hint="eastAsia" w:ascii="宋体" w:hAnsi="宋体" w:eastAsia="宋体" w:cs="宋体"/>
          <w:sz w:val="24"/>
          <w:highlight w:val="none"/>
        </w:rPr>
      </w:pPr>
    </w:p>
    <w:p w14:paraId="48040DDD">
      <w:pPr>
        <w:pStyle w:val="5"/>
        <w:ind w:firstLine="480"/>
        <w:rPr>
          <w:rFonts w:hint="eastAsia" w:ascii="宋体" w:hAnsi="宋体" w:eastAsia="宋体" w:cs="宋体"/>
          <w:highlight w:val="none"/>
        </w:rPr>
      </w:pPr>
      <w:bookmarkStart w:id="22" w:name="_Toc368993656"/>
      <w:bookmarkStart w:id="23" w:name="_Toc372127740"/>
      <w:bookmarkStart w:id="24" w:name="_Toc404172372"/>
      <w:bookmarkStart w:id="25" w:name="_Toc450199111"/>
      <w:bookmarkStart w:id="26" w:name="_Toc390342487"/>
      <w:bookmarkStart w:id="27" w:name="_Toc385596607"/>
      <w:bookmarkStart w:id="28" w:name="_Toc402432104"/>
      <w:bookmarkStart w:id="29" w:name="_Toc169"/>
      <w:bookmarkStart w:id="30" w:name="_Toc396290683"/>
      <w:bookmarkStart w:id="31" w:name="_Toc415814146"/>
      <w:r>
        <w:rPr>
          <w:rFonts w:hint="eastAsia" w:ascii="宋体" w:hAnsi="宋体" w:eastAsia="宋体" w:cs="宋体"/>
          <w:highlight w:val="none"/>
        </w:rPr>
        <w:t>一、磋商响应文件封面</w:t>
      </w:r>
      <w:bookmarkEnd w:id="22"/>
      <w:bookmarkEnd w:id="23"/>
      <w:bookmarkEnd w:id="24"/>
      <w:bookmarkEnd w:id="25"/>
      <w:bookmarkEnd w:id="26"/>
      <w:bookmarkEnd w:id="27"/>
      <w:bookmarkEnd w:id="28"/>
      <w:bookmarkEnd w:id="29"/>
      <w:bookmarkEnd w:id="30"/>
      <w:bookmarkEnd w:id="31"/>
    </w:p>
    <w:p w14:paraId="5E94A309">
      <w:pPr>
        <w:rPr>
          <w:rFonts w:hint="eastAsia" w:ascii="宋体" w:hAnsi="宋体" w:eastAsia="宋体" w:cs="宋体"/>
          <w:highlight w:val="none"/>
        </w:rPr>
      </w:pPr>
    </w:p>
    <w:p w14:paraId="073F829D">
      <w:pPr>
        <w:rPr>
          <w:rFonts w:hint="eastAsia" w:ascii="宋体" w:hAnsi="宋体" w:eastAsia="宋体" w:cs="宋体"/>
          <w:highlight w:val="none"/>
        </w:rPr>
      </w:pPr>
    </w:p>
    <w:p w14:paraId="2A827B8E">
      <w:pPr>
        <w:rPr>
          <w:rFonts w:hint="eastAsia" w:ascii="宋体" w:hAnsi="宋体" w:eastAsia="宋体" w:cs="宋体"/>
          <w:highlight w:val="none"/>
        </w:rPr>
      </w:pPr>
    </w:p>
    <w:p w14:paraId="6ACACB1A">
      <w:pPr>
        <w:rPr>
          <w:rFonts w:hint="eastAsia" w:ascii="宋体" w:hAnsi="宋体" w:eastAsia="宋体" w:cs="宋体"/>
          <w:highlight w:val="none"/>
        </w:rPr>
      </w:pPr>
    </w:p>
    <w:p w14:paraId="00DEA07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_________（项目名称）______________</w:t>
      </w:r>
    </w:p>
    <w:p w14:paraId="77BE4D4A">
      <w:pPr>
        <w:jc w:val="center"/>
        <w:rPr>
          <w:rFonts w:hint="eastAsia" w:ascii="宋体" w:hAnsi="宋体" w:eastAsia="宋体" w:cs="宋体"/>
          <w:sz w:val="24"/>
          <w:highlight w:val="none"/>
        </w:rPr>
      </w:pPr>
    </w:p>
    <w:p w14:paraId="5AA81734">
      <w:pPr>
        <w:jc w:val="center"/>
        <w:rPr>
          <w:rFonts w:hint="eastAsia" w:ascii="宋体" w:hAnsi="宋体" w:eastAsia="宋体" w:cs="宋体"/>
          <w:sz w:val="24"/>
          <w:highlight w:val="none"/>
        </w:rPr>
      </w:pPr>
    </w:p>
    <w:p w14:paraId="7D8F0CEA">
      <w:pPr>
        <w:jc w:val="center"/>
        <w:rPr>
          <w:rFonts w:hint="eastAsia" w:ascii="宋体" w:hAnsi="宋体" w:eastAsia="宋体" w:cs="宋体"/>
          <w:sz w:val="24"/>
          <w:highlight w:val="none"/>
        </w:rPr>
      </w:pPr>
    </w:p>
    <w:p w14:paraId="73EF63D7">
      <w:pPr>
        <w:jc w:val="center"/>
        <w:rPr>
          <w:rFonts w:hint="eastAsia" w:ascii="宋体" w:hAnsi="宋体" w:eastAsia="宋体" w:cs="宋体"/>
          <w:sz w:val="52"/>
          <w:szCs w:val="52"/>
          <w:highlight w:val="none"/>
        </w:rPr>
      </w:pPr>
    </w:p>
    <w:p w14:paraId="41D6329B">
      <w:pPr>
        <w:spacing w:after="120"/>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***磋商响应文件</w:t>
      </w:r>
    </w:p>
    <w:p w14:paraId="516035C1">
      <w:pPr>
        <w:spacing w:after="120"/>
        <w:jc w:val="center"/>
        <w:rPr>
          <w:rFonts w:hint="eastAsia" w:ascii="宋体" w:hAnsi="宋体" w:eastAsia="宋体" w:cs="宋体"/>
          <w:b/>
          <w:sz w:val="24"/>
          <w:highlight w:val="none"/>
        </w:rPr>
      </w:pPr>
    </w:p>
    <w:p w14:paraId="72FB17F5">
      <w:pPr>
        <w:spacing w:after="120"/>
        <w:jc w:val="center"/>
        <w:rPr>
          <w:rFonts w:hint="eastAsia" w:ascii="宋体" w:hAnsi="宋体" w:eastAsia="宋体" w:cs="宋体"/>
          <w:b/>
          <w:sz w:val="24"/>
          <w:highlight w:val="none"/>
        </w:rPr>
      </w:pPr>
    </w:p>
    <w:p w14:paraId="25D312F5">
      <w:pPr>
        <w:spacing w:after="120"/>
        <w:jc w:val="center"/>
        <w:rPr>
          <w:rFonts w:hint="eastAsia" w:ascii="宋体" w:hAnsi="宋体" w:eastAsia="宋体" w:cs="宋体"/>
          <w:b/>
          <w:sz w:val="24"/>
          <w:highlight w:val="none"/>
        </w:rPr>
      </w:pPr>
    </w:p>
    <w:p w14:paraId="2D8B0BB5">
      <w:pPr>
        <w:spacing w:after="12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注明：资信和商务技术文件或报价文件</w:t>
      </w:r>
    </w:p>
    <w:p w14:paraId="4A4CFC44">
      <w:pPr>
        <w:spacing w:after="120"/>
        <w:jc w:val="center"/>
        <w:rPr>
          <w:rFonts w:hint="eastAsia" w:ascii="宋体" w:hAnsi="宋体" w:eastAsia="宋体" w:cs="宋体"/>
          <w:b/>
          <w:sz w:val="24"/>
          <w:highlight w:val="none"/>
        </w:rPr>
      </w:pPr>
    </w:p>
    <w:p w14:paraId="06768A8F">
      <w:pPr>
        <w:spacing w:after="120"/>
        <w:jc w:val="center"/>
        <w:rPr>
          <w:rFonts w:hint="eastAsia" w:ascii="宋体" w:hAnsi="宋体" w:eastAsia="宋体" w:cs="宋体"/>
          <w:b/>
          <w:sz w:val="24"/>
          <w:highlight w:val="none"/>
        </w:rPr>
      </w:pPr>
    </w:p>
    <w:p w14:paraId="0CAE38DD">
      <w:pPr>
        <w:spacing w:after="120"/>
        <w:jc w:val="center"/>
        <w:rPr>
          <w:rFonts w:hint="eastAsia" w:ascii="宋体" w:hAnsi="宋体" w:eastAsia="宋体" w:cs="宋体"/>
          <w:b/>
          <w:sz w:val="24"/>
          <w:highlight w:val="none"/>
        </w:rPr>
      </w:pPr>
    </w:p>
    <w:p w14:paraId="12C83082">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供应商：（盖单位章）</w:t>
      </w:r>
    </w:p>
    <w:p w14:paraId="24F9A3E0">
      <w:pPr>
        <w:spacing w:after="120"/>
        <w:jc w:val="center"/>
        <w:rPr>
          <w:rFonts w:hint="eastAsia" w:ascii="宋体" w:hAnsi="宋体" w:eastAsia="宋体" w:cs="宋体"/>
          <w:sz w:val="24"/>
          <w:highlight w:val="none"/>
          <w:u w:val="single"/>
        </w:rPr>
      </w:pPr>
      <w:r>
        <w:rPr>
          <w:rFonts w:hint="eastAsia" w:ascii="宋体" w:hAnsi="宋体" w:eastAsia="宋体" w:cs="宋体"/>
          <w:sz w:val="24"/>
          <w:highlight w:val="none"/>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sz w:val="28"/>
          <w:highlight w:val="none"/>
        </w:rPr>
      </w:pPr>
      <w:r>
        <w:rPr>
          <w:rFonts w:hint="eastAsia" w:ascii="宋体" w:hAnsi="宋体" w:eastAsia="宋体" w:cs="宋体"/>
          <w:sz w:val="24"/>
          <w:highlight w:val="none"/>
        </w:rPr>
        <w:t>年    月    日</w:t>
      </w:r>
    </w:p>
    <w:p w14:paraId="4D4396A8">
      <w:pPr>
        <w:pStyle w:val="5"/>
        <w:ind w:firstLine="480"/>
        <w:rPr>
          <w:rFonts w:hint="eastAsia" w:ascii="宋体" w:hAnsi="宋体" w:eastAsia="宋体" w:cs="宋体"/>
          <w:highlight w:val="none"/>
        </w:rPr>
      </w:pPr>
      <w:r>
        <w:rPr>
          <w:rFonts w:hint="eastAsia" w:ascii="宋体" w:hAnsi="宋体" w:eastAsia="宋体" w:cs="宋体"/>
          <w:highlight w:val="none"/>
        </w:rPr>
        <w:br w:type="page"/>
      </w:r>
      <w:bookmarkStart w:id="32" w:name="_Toc415814147"/>
      <w:bookmarkStart w:id="33" w:name="_Toc401423940"/>
      <w:bookmarkStart w:id="34" w:name="_Toc293401393"/>
      <w:bookmarkStart w:id="35" w:name="_Toc450199112"/>
      <w:bookmarkStart w:id="36" w:name="_Toc21615"/>
      <w:r>
        <w:rPr>
          <w:rFonts w:hint="eastAsia" w:ascii="宋体" w:hAnsi="宋体" w:eastAsia="宋体" w:cs="宋体"/>
          <w:highlight w:val="none"/>
        </w:rPr>
        <w:t>二、报价</w:t>
      </w:r>
      <w:bookmarkEnd w:id="32"/>
      <w:bookmarkEnd w:id="33"/>
      <w:bookmarkEnd w:id="34"/>
      <w:r>
        <w:rPr>
          <w:rFonts w:hint="eastAsia" w:ascii="宋体" w:hAnsi="宋体" w:eastAsia="宋体" w:cs="宋体"/>
          <w:highlight w:val="none"/>
        </w:rPr>
        <w:t>文件</w:t>
      </w:r>
      <w:bookmarkEnd w:id="35"/>
      <w:bookmarkEnd w:id="36"/>
    </w:p>
    <w:p w14:paraId="34F7931C">
      <w:pPr>
        <w:rPr>
          <w:rFonts w:hint="eastAsia" w:ascii="宋体" w:hAnsi="宋体" w:eastAsia="宋体" w:cs="宋体"/>
          <w:highlight w:val="none"/>
        </w:rPr>
      </w:pPr>
    </w:p>
    <w:p w14:paraId="18D3581D">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目录</w:t>
      </w:r>
    </w:p>
    <w:p w14:paraId="7EE81A30">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（1）磋商响应初始报价一览表……………………………………………………（页码）</w:t>
      </w:r>
    </w:p>
    <w:p w14:paraId="2941927C">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（2）投标分项报价表………………………………………………………………（页码）</w:t>
      </w:r>
    </w:p>
    <w:p w14:paraId="539D5A04">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sz w:val="28"/>
          <w:highlight w:val="none"/>
        </w:rPr>
        <w:br w:type="page"/>
      </w:r>
      <w:r>
        <w:rPr>
          <w:rFonts w:hint="eastAsia" w:ascii="宋体" w:hAnsi="宋体" w:eastAsia="宋体" w:cs="宋体"/>
          <w:b/>
          <w:szCs w:val="21"/>
          <w:highlight w:val="none"/>
        </w:rPr>
        <w:t>1、磋商响应初始报价一览表；</w:t>
      </w:r>
    </w:p>
    <w:p w14:paraId="5693236B">
      <w:pPr>
        <w:spacing w:line="360" w:lineRule="auto"/>
        <w:ind w:left="2"/>
        <w:jc w:val="center"/>
        <w:rPr>
          <w:rFonts w:hint="eastAsia" w:ascii="宋体" w:hAnsi="宋体" w:eastAsia="宋体" w:cs="宋体"/>
          <w:b/>
          <w:sz w:val="32"/>
          <w:highlight w:val="none"/>
        </w:rPr>
      </w:pPr>
    </w:p>
    <w:p w14:paraId="65C2A326">
      <w:pPr>
        <w:spacing w:line="360" w:lineRule="auto"/>
        <w:ind w:left="2"/>
        <w:jc w:val="center"/>
        <w:rPr>
          <w:rFonts w:hint="eastAsia" w:ascii="宋体" w:hAnsi="宋体" w:eastAsia="宋体" w:cs="宋体"/>
          <w:b/>
          <w:sz w:val="32"/>
          <w:highlight w:val="none"/>
        </w:rPr>
      </w:pPr>
      <w:r>
        <w:rPr>
          <w:rFonts w:hint="eastAsia" w:ascii="宋体" w:hAnsi="宋体" w:eastAsia="宋体" w:cs="宋体"/>
          <w:b/>
          <w:sz w:val="32"/>
          <w:highlight w:val="none"/>
        </w:rPr>
        <w:t>磋商响应初始报价一览表</w:t>
      </w:r>
    </w:p>
    <w:p w14:paraId="76F9DC7E">
      <w:pPr>
        <w:pStyle w:val="17"/>
        <w:adjustRightInd w:val="0"/>
        <w:snapToGrid w:val="0"/>
        <w:spacing w:line="360" w:lineRule="auto"/>
        <w:rPr>
          <w:rFonts w:hint="eastAsia" w:ascii="宋体" w:hAnsi="宋体" w:eastAsia="宋体" w:cs="宋体"/>
          <w:highlight w:val="none"/>
        </w:rPr>
      </w:pPr>
    </w:p>
    <w:p w14:paraId="6A8CB8FE">
      <w:pPr>
        <w:pStyle w:val="42"/>
        <w:rPr>
          <w:rFonts w:hint="eastAsia" w:ascii="宋体" w:hAnsi="宋体" w:eastAsia="宋体" w:cs="宋体"/>
          <w:snapToGrid/>
          <w:highlight w:val="none"/>
        </w:rPr>
      </w:pPr>
      <w:r>
        <w:rPr>
          <w:rFonts w:hint="eastAsia" w:ascii="宋体" w:hAnsi="宋体" w:eastAsia="宋体" w:cs="宋体"/>
          <w:snapToGrid/>
          <w:highlight w:val="none"/>
        </w:rPr>
        <w:t>项目名称：</w:t>
      </w:r>
    </w:p>
    <w:p w14:paraId="33A1E5C8">
      <w:pPr>
        <w:pStyle w:val="42"/>
        <w:rPr>
          <w:rFonts w:hint="eastAsia" w:ascii="宋体" w:hAnsi="宋体" w:eastAsia="宋体" w:cs="宋体"/>
          <w:snapToGrid/>
          <w:highlight w:val="none"/>
        </w:rPr>
      </w:pPr>
      <w:r>
        <w:rPr>
          <w:rFonts w:hint="eastAsia" w:ascii="宋体" w:hAnsi="宋体" w:eastAsia="宋体" w:cs="宋体"/>
          <w:snapToGrid/>
          <w:highlight w:val="none"/>
        </w:rPr>
        <w:t>招标项目编号：</w:t>
      </w:r>
    </w:p>
    <w:p w14:paraId="64F8E6A5">
      <w:pPr>
        <w:adjustRightInd w:val="0"/>
        <w:snapToGrid w:val="0"/>
        <w:spacing w:line="300" w:lineRule="auto"/>
        <w:rPr>
          <w:rFonts w:hint="eastAsia" w:ascii="宋体" w:hAnsi="宋体" w:eastAsia="宋体" w:cs="宋体"/>
          <w:snapToGrid/>
          <w:sz w:val="24"/>
          <w:szCs w:val="24"/>
          <w:highlight w:val="none"/>
        </w:rPr>
      </w:pPr>
    </w:p>
    <w:tbl>
      <w:tblPr>
        <w:tblStyle w:val="33"/>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投标报价</w:t>
            </w:r>
          </w:p>
        </w:tc>
        <w:tc>
          <w:tcPr>
            <w:tcW w:w="5601" w:type="dxa"/>
            <w:vAlign w:val="center"/>
          </w:tcPr>
          <w:p w14:paraId="33C8CEAF">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人民币（小写金额）：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9ADE704">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整</w:t>
            </w:r>
          </w:p>
          <w:p w14:paraId="5F845D51">
            <w:pPr>
              <w:pStyle w:val="17"/>
              <w:rPr>
                <w:rFonts w:hint="eastAsia" w:ascii="宋体" w:hAnsi="宋体" w:eastAsia="宋体" w:cs="宋体"/>
                <w:highlight w:val="none"/>
              </w:rPr>
            </w:pPr>
            <w:r>
              <w:rPr>
                <w:rFonts w:hint="eastAsia" w:ascii="宋体" w:hAnsi="宋体" w:eastAsia="宋体" w:cs="宋体"/>
                <w:b/>
                <w:bCs/>
                <w:sz w:val="24"/>
                <w:szCs w:val="24"/>
                <w:highlight w:val="none"/>
              </w:rPr>
              <w:t>注：如有不一致，以大写为准。</w:t>
            </w:r>
          </w:p>
        </w:tc>
      </w:tr>
    </w:tbl>
    <w:p w14:paraId="45C1942F">
      <w:pPr>
        <w:adjustRightInd w:val="0"/>
        <w:snapToGrid w:val="0"/>
        <w:spacing w:line="300" w:lineRule="auto"/>
        <w:ind w:firstLine="480" w:firstLineChars="200"/>
        <w:rPr>
          <w:rFonts w:hint="eastAsia" w:ascii="宋体" w:hAnsi="宋体" w:eastAsia="宋体" w:cs="宋体"/>
          <w:sz w:val="24"/>
          <w:szCs w:val="24"/>
          <w:highlight w:val="none"/>
        </w:rPr>
      </w:pPr>
    </w:p>
    <w:p w14:paraId="2E5E986E">
      <w:pPr>
        <w:pStyle w:val="42"/>
        <w:rPr>
          <w:rFonts w:hint="eastAsia" w:ascii="宋体" w:hAnsi="宋体" w:eastAsia="宋体" w:cs="宋体"/>
          <w:highlight w:val="none"/>
        </w:rPr>
      </w:pPr>
    </w:p>
    <w:p w14:paraId="7E0A8721">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74EEEEA7">
      <w:pPr>
        <w:pStyle w:val="42"/>
        <w:rPr>
          <w:rFonts w:hint="eastAsia" w:ascii="宋体" w:hAnsi="宋体" w:eastAsia="宋体" w:cs="宋体"/>
          <w:highlight w:val="none"/>
        </w:rPr>
      </w:pPr>
    </w:p>
    <w:p w14:paraId="0D466BA4">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619C2680">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7ED63056">
      <w:pPr>
        <w:pStyle w:val="17"/>
        <w:rPr>
          <w:rFonts w:hint="eastAsia" w:ascii="宋体" w:hAnsi="宋体" w:eastAsia="宋体" w:cs="宋体"/>
          <w:b/>
          <w:szCs w:val="21"/>
          <w:highlight w:val="none"/>
        </w:rPr>
        <w:sectPr>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snapToGrid w:val="0"/>
          <w:highlight w:val="none"/>
        </w:rPr>
        <w:br w:type="page"/>
      </w:r>
      <w:bookmarkStart w:id="37" w:name="_Toc293401394"/>
      <w:bookmarkStart w:id="38" w:name="_Toc450199113"/>
      <w:bookmarkStart w:id="39" w:name="_Toc312928677"/>
      <w:bookmarkStart w:id="40" w:name="_Toc401423941"/>
      <w:bookmarkStart w:id="41" w:name="_Toc415814148"/>
      <w:bookmarkStart w:id="42" w:name="_Toc8574"/>
    </w:p>
    <w:p w14:paraId="019F3F37">
      <w:pPr>
        <w:tabs>
          <w:tab w:val="left" w:pos="6080"/>
          <w:tab w:val="left" w:pos="6640"/>
        </w:tabs>
        <w:autoSpaceDE w:val="0"/>
        <w:autoSpaceDN w:val="0"/>
        <w:adjustRightInd w:val="0"/>
        <w:snapToGrid w:val="0"/>
        <w:spacing w:line="360" w:lineRule="auto"/>
        <w:ind w:right="403"/>
        <w:jc w:val="left"/>
        <w:rPr>
          <w:b/>
          <w:szCs w:val="21"/>
        </w:rPr>
      </w:pPr>
      <w:r>
        <w:rPr>
          <w:rFonts w:hint="eastAsia"/>
          <w:b/>
          <w:szCs w:val="21"/>
        </w:rPr>
        <w:t>2</w:t>
      </w:r>
      <w:r>
        <w:rPr>
          <w:b/>
          <w:szCs w:val="21"/>
        </w:rPr>
        <w:t>、</w:t>
      </w:r>
      <w:r>
        <w:rPr>
          <w:rFonts w:hint="eastAsia"/>
          <w:b/>
          <w:szCs w:val="21"/>
        </w:rPr>
        <w:t>投标分项报价表</w:t>
      </w:r>
      <w:r>
        <w:rPr>
          <w:b/>
          <w:szCs w:val="21"/>
        </w:rPr>
        <w:t>；</w:t>
      </w:r>
    </w:p>
    <w:p w14:paraId="64A40E57">
      <w:pPr>
        <w:spacing w:line="360" w:lineRule="auto"/>
        <w:ind w:left="2"/>
        <w:jc w:val="center"/>
        <w:rPr>
          <w:rFonts w:hint="eastAsia"/>
          <w:b/>
          <w:sz w:val="32"/>
        </w:rPr>
      </w:pPr>
      <w:r>
        <w:rPr>
          <w:rFonts w:hint="eastAsia"/>
          <w:b/>
          <w:sz w:val="32"/>
        </w:rPr>
        <w:t>报价表</w:t>
      </w:r>
    </w:p>
    <w:tbl>
      <w:tblPr>
        <w:tblStyle w:val="167"/>
        <w:tblW w:w="7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3372"/>
        <w:gridCol w:w="3060"/>
      </w:tblGrid>
      <w:tr w14:paraId="284F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874" w:type="dxa"/>
            <w:vAlign w:val="center"/>
          </w:tcPr>
          <w:p w14:paraId="145CB6D0">
            <w:pPr>
              <w:pStyle w:val="168"/>
              <w:spacing w:before="78" w:line="221" w:lineRule="auto"/>
              <w:jc w:val="center"/>
              <w:rPr>
                <w:b/>
                <w:bCs/>
              </w:rPr>
            </w:pPr>
            <w:r>
              <w:rPr>
                <w:b/>
                <w:bCs/>
                <w:spacing w:val="7"/>
              </w:rPr>
              <w:t>序号</w:t>
            </w:r>
          </w:p>
        </w:tc>
        <w:tc>
          <w:tcPr>
            <w:tcW w:w="3372" w:type="dxa"/>
            <w:vAlign w:val="center"/>
          </w:tcPr>
          <w:p w14:paraId="482746F5">
            <w:pPr>
              <w:pStyle w:val="168"/>
              <w:spacing w:before="78" w:line="219" w:lineRule="auto"/>
              <w:jc w:val="center"/>
              <w:rPr>
                <w:b/>
                <w:bCs/>
              </w:rPr>
            </w:pPr>
            <w:r>
              <w:rPr>
                <w:b/>
                <w:bCs/>
                <w:spacing w:val="3"/>
              </w:rPr>
              <w:t>项目内容</w:t>
            </w:r>
          </w:p>
        </w:tc>
        <w:tc>
          <w:tcPr>
            <w:tcW w:w="3060" w:type="dxa"/>
            <w:vAlign w:val="center"/>
          </w:tcPr>
          <w:p w14:paraId="2B14902F">
            <w:pPr>
              <w:pStyle w:val="168"/>
              <w:spacing w:before="78" w:line="218" w:lineRule="auto"/>
              <w:jc w:val="center"/>
              <w:rPr>
                <w:rFonts w:hint="default" w:eastAsia="宋体"/>
                <w:b/>
                <w:bCs/>
                <w:lang w:val="en-US" w:eastAsia="zh-CN"/>
              </w:rPr>
            </w:pPr>
            <w:r>
              <w:rPr>
                <w:rFonts w:hint="eastAsia"/>
                <w:b/>
                <w:bCs/>
                <w:lang w:val="en-US" w:eastAsia="zh-CN"/>
              </w:rPr>
              <w:t>单年度报价（元）</w:t>
            </w:r>
          </w:p>
        </w:tc>
      </w:tr>
      <w:tr w14:paraId="688D0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24F276EE">
            <w:pPr>
              <w:pStyle w:val="168"/>
              <w:spacing w:before="78" w:line="241" w:lineRule="auto"/>
              <w:jc w:val="center"/>
            </w:pPr>
            <w:r>
              <w:t>1</w:t>
            </w:r>
          </w:p>
        </w:tc>
        <w:tc>
          <w:tcPr>
            <w:tcW w:w="3372" w:type="dxa"/>
            <w:vAlign w:val="center"/>
          </w:tcPr>
          <w:p w14:paraId="3CB6A646">
            <w:pPr>
              <w:pStyle w:val="168"/>
              <w:spacing w:before="261" w:line="219" w:lineRule="auto"/>
              <w:jc w:val="center"/>
              <w:rPr>
                <w:rFonts w:hint="default" w:eastAsia="宋体"/>
                <w:lang w:val="en-US" w:eastAsia="zh-CN"/>
              </w:rPr>
            </w:pPr>
            <w:r>
              <w:rPr>
                <w:rFonts w:hint="eastAsia"/>
                <w:spacing w:val="1"/>
                <w:lang w:val="en-US" w:eastAsia="zh-CN"/>
              </w:rPr>
              <w:t>富阳院区四害消杀</w:t>
            </w:r>
          </w:p>
        </w:tc>
        <w:tc>
          <w:tcPr>
            <w:tcW w:w="3060" w:type="dxa"/>
            <w:vAlign w:val="center"/>
          </w:tcPr>
          <w:p w14:paraId="2BD3DD15">
            <w:pPr>
              <w:pStyle w:val="168"/>
              <w:spacing w:before="78"/>
              <w:jc w:val="center"/>
              <w:rPr>
                <w:rFonts w:hint="default" w:eastAsia="宋体"/>
                <w:lang w:val="en-US" w:eastAsia="zh-CN"/>
              </w:rPr>
            </w:pPr>
          </w:p>
        </w:tc>
      </w:tr>
      <w:tr w14:paraId="2F00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20FA0888">
            <w:pPr>
              <w:pStyle w:val="168"/>
              <w:spacing w:before="78" w:line="241" w:lineRule="auto"/>
              <w:jc w:val="center"/>
              <w:rPr>
                <w:rFonts w:hint="eastAsia" w:eastAsia="宋体"/>
                <w:lang w:val="en-US" w:eastAsia="zh-CN"/>
              </w:rPr>
            </w:pPr>
            <w:r>
              <w:rPr>
                <w:rFonts w:hint="eastAsia"/>
                <w:lang w:val="en-US" w:eastAsia="zh-CN"/>
              </w:rPr>
              <w:t>2</w:t>
            </w:r>
          </w:p>
        </w:tc>
        <w:tc>
          <w:tcPr>
            <w:tcW w:w="3372" w:type="dxa"/>
            <w:vAlign w:val="center"/>
          </w:tcPr>
          <w:p w14:paraId="4B8370B5">
            <w:pPr>
              <w:pStyle w:val="168"/>
              <w:spacing w:before="15" w:line="219" w:lineRule="auto"/>
              <w:jc w:val="center"/>
              <w:rPr>
                <w:rFonts w:hint="default" w:eastAsia="宋体"/>
                <w:spacing w:val="10"/>
                <w:lang w:val="en-US" w:eastAsia="zh-CN"/>
              </w:rPr>
            </w:pPr>
            <w:r>
              <w:rPr>
                <w:rFonts w:hint="eastAsia"/>
                <w:spacing w:val="10"/>
                <w:lang w:val="en-US" w:eastAsia="zh-CN"/>
              </w:rPr>
              <w:t>江北院区四害消杀</w:t>
            </w:r>
          </w:p>
        </w:tc>
        <w:tc>
          <w:tcPr>
            <w:tcW w:w="3060" w:type="dxa"/>
            <w:vAlign w:val="center"/>
          </w:tcPr>
          <w:p w14:paraId="4414774E">
            <w:pPr>
              <w:pStyle w:val="168"/>
              <w:spacing w:before="78"/>
              <w:jc w:val="center"/>
              <w:rPr>
                <w:rFonts w:hint="default" w:eastAsia="宋体"/>
                <w:spacing w:val="-4"/>
                <w:lang w:val="en-US" w:eastAsia="zh-CN"/>
              </w:rPr>
            </w:pPr>
          </w:p>
        </w:tc>
      </w:tr>
    </w:tbl>
    <w:p w14:paraId="3B6D121F">
      <w:pPr>
        <w:pStyle w:val="42"/>
        <w:numPr>
          <w:ilvl w:val="0"/>
          <w:numId w:val="0"/>
        </w:numPr>
        <w:ind w:firstLine="960" w:firstLineChars="400"/>
        <w:rPr>
          <w:rFonts w:hint="eastAsia"/>
          <w:highlight w:val="none"/>
        </w:rPr>
      </w:pPr>
      <w:r>
        <w:rPr>
          <w:rFonts w:hint="eastAsia"/>
          <w:highlight w:val="none"/>
          <w:lang w:val="en-US" w:eastAsia="zh-CN"/>
        </w:rPr>
        <w:t>注：</w:t>
      </w:r>
      <w:r>
        <w:rPr>
          <w:rFonts w:hint="eastAsia"/>
          <w:highlight w:val="none"/>
        </w:rPr>
        <w:t>投标报价包括产品货款、</w:t>
      </w:r>
      <w:r>
        <w:rPr>
          <w:rFonts w:hint="eastAsia" w:ascii="宋体" w:hAnsi="宋体" w:eastAsia="宋体" w:cs="宋体"/>
          <w:highlight w:val="none"/>
        </w:rPr>
        <w:t>人工</w:t>
      </w:r>
      <w:r>
        <w:rPr>
          <w:rFonts w:hint="eastAsia" w:ascii="宋体" w:hAnsi="宋体" w:eastAsia="宋体" w:cs="宋体"/>
          <w:highlight w:val="none"/>
          <w:lang w:val="en-US" w:eastAsia="zh-CN"/>
        </w:rPr>
        <w:t>及技术服务</w:t>
      </w:r>
      <w:r>
        <w:rPr>
          <w:rFonts w:hint="eastAsia" w:ascii="宋体" w:hAnsi="宋体" w:eastAsia="宋体" w:cs="宋体"/>
          <w:highlight w:val="none"/>
        </w:rPr>
        <w:t>费</w:t>
      </w:r>
      <w:r>
        <w:rPr>
          <w:rFonts w:hint="eastAsia"/>
          <w:highlight w:val="none"/>
        </w:rPr>
        <w:t>、材料费、运输费、装卸费、安装费、管理费、利润、规费、税金、政策性文件规定及合同包含的所有风险责任等完成本项目的所有费用。</w:t>
      </w:r>
    </w:p>
    <w:p w14:paraId="33A9440D">
      <w:pPr>
        <w:pStyle w:val="42"/>
        <w:numPr>
          <w:ilvl w:val="0"/>
          <w:numId w:val="0"/>
        </w:numPr>
        <w:rPr>
          <w:rFonts w:hint="eastAsia"/>
        </w:rPr>
      </w:pPr>
    </w:p>
    <w:p w14:paraId="7C103C05">
      <w:pPr>
        <w:pStyle w:val="42"/>
        <w:rPr>
          <w:rFonts w:ascii="Times New Roman" w:hAnsi="Times New Roman" w:cs="Times New Roman"/>
        </w:rPr>
      </w:pPr>
      <w:r>
        <w:rPr>
          <w:rFonts w:hint="eastAsia" w:ascii="Times New Roman" w:hAnsi="Times New Roman" w:cs="Times New Roman"/>
        </w:rPr>
        <w:t>磋商响应供应商（盖章）：</w:t>
      </w:r>
    </w:p>
    <w:p w14:paraId="4D3F032B">
      <w:pPr>
        <w:pStyle w:val="42"/>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2"/>
        <w:rPr>
          <w:rFonts w:ascii="Times New Roman" w:hAnsi="Times New Roman" w:cs="Times New Roman"/>
          <w:u w:val="single"/>
        </w:rPr>
      </w:pPr>
      <w:r>
        <w:rPr>
          <w:rFonts w:ascii="Times New Roman" w:hAnsi="Times New Roman" w:cs="Times New Roman"/>
        </w:rPr>
        <w:t>日期：    年  月  日</w:t>
      </w:r>
    </w:p>
    <w:p w14:paraId="5F71E11E">
      <w:pPr>
        <w:pStyle w:val="5"/>
        <w:ind w:firstLine="480"/>
        <w:rPr>
          <w:rFonts w:hint="eastAsia" w:ascii="宋体" w:hAnsi="宋体" w:eastAsia="宋体" w:cs="宋体"/>
          <w:highlight w:val="none"/>
        </w:rPr>
      </w:pPr>
    </w:p>
    <w:p w14:paraId="14A110B3">
      <w:pPr>
        <w:pStyle w:val="5"/>
        <w:ind w:firstLine="480"/>
        <w:rPr>
          <w:rFonts w:hint="eastAsia" w:ascii="宋体" w:hAnsi="宋体" w:eastAsia="宋体" w:cs="宋体"/>
          <w:highlight w:val="none"/>
          <w:lang w:eastAsia="zh-CN"/>
        </w:rPr>
        <w:sectPr>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highlight w:val="none"/>
        </w:rPr>
        <w:t>三、资信和商务技术文件</w:t>
      </w:r>
    </w:p>
    <w:p w14:paraId="4EB7B5A5">
      <w:pPr>
        <w:pStyle w:val="17"/>
        <w:rPr>
          <w:rFonts w:hint="eastAsia" w:ascii="宋体" w:hAnsi="宋体" w:eastAsia="宋体" w:cs="宋体"/>
          <w:highlight w:val="none"/>
        </w:rPr>
      </w:pPr>
    </w:p>
    <w:bookmarkEnd w:id="37"/>
    <w:bookmarkEnd w:id="38"/>
    <w:bookmarkEnd w:id="39"/>
    <w:bookmarkEnd w:id="40"/>
    <w:bookmarkEnd w:id="41"/>
    <w:bookmarkEnd w:id="42"/>
    <w:p w14:paraId="3F89931A">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b/>
          <w:sz w:val="32"/>
          <w:szCs w:val="21"/>
          <w:highlight w:val="none"/>
        </w:rPr>
      </w:pPr>
      <w:r>
        <w:rPr>
          <w:rFonts w:hint="eastAsia" w:ascii="宋体" w:hAnsi="宋体" w:eastAsia="宋体" w:cs="宋体"/>
          <w:b/>
          <w:sz w:val="32"/>
          <w:szCs w:val="21"/>
          <w:highlight w:val="none"/>
        </w:rPr>
        <w:t>目录</w:t>
      </w:r>
    </w:p>
    <w:p w14:paraId="1BDD1F05">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szCs w:val="21"/>
          <w:highlight w:val="none"/>
        </w:rPr>
      </w:pPr>
    </w:p>
    <w:p w14:paraId="0CFBBCBD">
      <w:pPr>
        <w:pStyle w:val="31"/>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1、磋商响应函；</w:t>
      </w:r>
    </w:p>
    <w:p w14:paraId="308461CC">
      <w:pPr>
        <w:pStyle w:val="31"/>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2、法定代表人资格证明书及法定代表人授权书，同时须附法定代表人和授权委托代表的有效身份证复印件（法定代表人直接参加投标并对相应文件签字的，只需提供前者）；</w:t>
      </w:r>
    </w:p>
    <w:p w14:paraId="61A89F5B">
      <w:pPr>
        <w:pStyle w:val="31"/>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社保机构出具的响应截止日前6个月内授权代表的响应单位社保缴纳证明，任职不足6个月的可提供劳动合同证明文件。</w:t>
      </w:r>
    </w:p>
    <w:p w14:paraId="1CF65481">
      <w:pPr>
        <w:pStyle w:val="31"/>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3、以下资格证明材料</w:t>
      </w:r>
    </w:p>
    <w:p w14:paraId="3114A8AA">
      <w:pPr>
        <w:pStyle w:val="31"/>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1）符合供应商资格要求的相关证明材料；</w:t>
      </w:r>
    </w:p>
    <w:p w14:paraId="00974665">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各供应商须在投标文件中出具对应证明材料（商业信誉可提前自查，投标文件中可不提供）。</w:t>
      </w:r>
    </w:p>
    <w:p w14:paraId="467452DA">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a.具有独立承担民事责任能力的证明材料；</w:t>
      </w:r>
    </w:p>
    <w:p w14:paraId="779B5DF1">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供应商须在投标文件中出具符合以下情况的证明材料复印件（五选一）：</w:t>
      </w:r>
    </w:p>
    <w:p w14:paraId="1E6FEFAC">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①如供应商是企业（包括合伙企业），提供在工商部门注册的有效“企业法人营业执照”或“营业执照”；</w:t>
      </w:r>
    </w:p>
    <w:p w14:paraId="474A5C8C">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②如供应商是事业单位，提供有效的“事业单位法人证书”；</w:t>
      </w:r>
    </w:p>
    <w:p w14:paraId="0ACD3025">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③如供应商是非企业专业服务机构的，提供执业许可证等证明文件；</w:t>
      </w:r>
    </w:p>
    <w:p w14:paraId="7CBCA147">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④如供应商是个体工商户，提供有效的“个体工商户营业执照”；</w:t>
      </w:r>
    </w:p>
    <w:p w14:paraId="6B841694">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⑤如供应商是自然人，提供有效的自然人身份证明（居民身份证正反面或公安机关出具的临时居民身份证正反面或港澳台胞证或护照）。</w:t>
      </w:r>
    </w:p>
    <w:p w14:paraId="45631A49">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b.符合参与采购活动资格条件的承诺函；</w:t>
      </w:r>
    </w:p>
    <w:p w14:paraId="05496C45">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cs="宋体"/>
          <w:sz w:val="24"/>
          <w:szCs w:val="24"/>
          <w:highlight w:val="none"/>
          <w:lang w:val="en-US" w:eastAsia="zh-CN"/>
        </w:rPr>
        <w:t>资信情况</w:t>
      </w:r>
      <w:r>
        <w:rPr>
          <w:rFonts w:hint="eastAsia" w:ascii="宋体" w:hAnsi="宋体" w:eastAsia="宋体" w:cs="宋体"/>
          <w:sz w:val="24"/>
          <w:szCs w:val="24"/>
          <w:highlight w:val="none"/>
        </w:rPr>
        <w:t>；</w:t>
      </w:r>
    </w:p>
    <w:p w14:paraId="6CCB517B">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5、类似业绩；</w:t>
      </w:r>
    </w:p>
    <w:p w14:paraId="4F01C149">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cs="宋体"/>
          <w:sz w:val="24"/>
          <w:szCs w:val="24"/>
          <w:highlight w:val="none"/>
          <w:lang w:val="en-US" w:eastAsia="zh-CN"/>
        </w:rPr>
        <w:t>管理和实施方案</w:t>
      </w:r>
      <w:r>
        <w:rPr>
          <w:rFonts w:hint="eastAsia" w:ascii="宋体" w:hAnsi="宋体" w:eastAsia="宋体" w:cs="宋体"/>
          <w:sz w:val="24"/>
          <w:szCs w:val="24"/>
          <w:highlight w:val="none"/>
        </w:rPr>
        <w:t>；</w:t>
      </w:r>
    </w:p>
    <w:p w14:paraId="35780C42">
      <w:pPr>
        <w:pStyle w:val="31"/>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7、专业设施</w:t>
      </w:r>
      <w:r>
        <w:rPr>
          <w:rFonts w:hint="eastAsia" w:ascii="宋体" w:cs="宋体"/>
          <w:sz w:val="24"/>
          <w:szCs w:val="24"/>
          <w:highlight w:val="none"/>
          <w:lang w:val="en-US" w:eastAsia="zh-CN"/>
        </w:rPr>
        <w:t>和人员配备</w:t>
      </w:r>
      <w:r>
        <w:rPr>
          <w:rFonts w:hint="eastAsia" w:ascii="宋体" w:hAnsi="宋体" w:eastAsia="宋体" w:cs="宋体"/>
          <w:sz w:val="24"/>
          <w:szCs w:val="24"/>
          <w:highlight w:val="none"/>
          <w:lang w:val="en-US" w:eastAsia="zh-CN"/>
        </w:rPr>
        <w:t>；</w:t>
      </w:r>
    </w:p>
    <w:p w14:paraId="1160F30D">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cs="宋体"/>
          <w:sz w:val="24"/>
          <w:szCs w:val="24"/>
          <w:highlight w:val="none"/>
          <w:lang w:val="en-US" w:eastAsia="zh-CN"/>
        </w:rPr>
        <w:t>资质和经验</w:t>
      </w:r>
      <w:r>
        <w:rPr>
          <w:rFonts w:hint="eastAsia" w:ascii="宋体" w:hAnsi="宋体" w:eastAsia="宋体" w:cs="宋体"/>
          <w:sz w:val="24"/>
          <w:szCs w:val="24"/>
          <w:highlight w:val="none"/>
        </w:rPr>
        <w:t>；</w:t>
      </w:r>
    </w:p>
    <w:p w14:paraId="4F58F1EB">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cs="宋体"/>
          <w:sz w:val="24"/>
          <w:szCs w:val="24"/>
          <w:highlight w:val="none"/>
          <w:lang w:val="en-US" w:eastAsia="zh-CN"/>
        </w:rPr>
        <w:t>响应机制</w:t>
      </w:r>
      <w:r>
        <w:rPr>
          <w:rFonts w:hint="eastAsia" w:ascii="宋体" w:hAnsi="宋体" w:eastAsia="宋体" w:cs="宋体"/>
          <w:sz w:val="24"/>
          <w:szCs w:val="24"/>
          <w:highlight w:val="none"/>
        </w:rPr>
        <w:t>；</w:t>
      </w:r>
    </w:p>
    <w:p w14:paraId="55D5EBF5">
      <w:pPr>
        <w:pStyle w:val="31"/>
        <w:ind w:left="424" w:leftChars="202"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cs="宋体"/>
          <w:sz w:val="24"/>
          <w:szCs w:val="24"/>
          <w:highlight w:val="none"/>
          <w:lang w:val="en-US" w:eastAsia="zh-CN"/>
        </w:rPr>
        <w:t>优惠措施</w:t>
      </w:r>
      <w:r>
        <w:rPr>
          <w:rFonts w:hint="eastAsia" w:ascii="宋体" w:hAnsi="宋体" w:eastAsia="宋体" w:cs="宋体"/>
          <w:sz w:val="24"/>
          <w:szCs w:val="24"/>
          <w:highlight w:val="none"/>
          <w:lang w:eastAsia="zh-CN"/>
        </w:rPr>
        <w:t>。</w:t>
      </w:r>
    </w:p>
    <w:p w14:paraId="7FB286C2">
      <w:pPr>
        <w:pStyle w:val="24"/>
        <w:rPr>
          <w:rFonts w:hint="eastAsia" w:ascii="宋体" w:hAnsi="宋体" w:eastAsia="宋体" w:cs="宋体"/>
          <w:highlight w:val="none"/>
        </w:rPr>
      </w:pPr>
    </w:p>
    <w:p w14:paraId="7EE8C087">
      <w:pPr>
        <w:pStyle w:val="31"/>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1、磋商响应函格式</w:t>
      </w:r>
    </w:p>
    <w:p w14:paraId="422EE537">
      <w:pPr>
        <w:snapToGrid w:val="0"/>
        <w:spacing w:line="30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磋商响应函</w:t>
      </w:r>
    </w:p>
    <w:p w14:paraId="1C1C57A8">
      <w:pPr>
        <w:pStyle w:val="17"/>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（采购人单位名称）</w:t>
      </w:r>
      <w:r>
        <w:rPr>
          <w:rFonts w:hint="eastAsia" w:ascii="宋体" w:hAnsi="宋体" w:eastAsia="宋体" w:cs="宋体"/>
          <w:sz w:val="24"/>
          <w:szCs w:val="24"/>
          <w:highlight w:val="none"/>
        </w:rPr>
        <w:t>：</w:t>
      </w:r>
    </w:p>
    <w:p w14:paraId="065B985C">
      <w:pPr>
        <w:pStyle w:val="17"/>
        <w:adjustRightInd w:val="0"/>
        <w:snapToGrid w:val="0"/>
        <w:spacing w:line="300" w:lineRule="auto"/>
        <w:ind w:firstLine="470" w:firstLineChars="196"/>
        <w:rPr>
          <w:rFonts w:hint="eastAsia" w:ascii="宋体" w:hAnsi="宋体" w:eastAsia="宋体" w:cs="宋体"/>
          <w:sz w:val="24"/>
          <w:szCs w:val="24"/>
          <w:highlight w:val="none"/>
        </w:rPr>
      </w:pPr>
    </w:p>
    <w:p w14:paraId="02F0AA1D">
      <w:pPr>
        <w:pStyle w:val="17"/>
        <w:adjustRightInd w:val="0"/>
        <w:snapToGrid w:val="0"/>
        <w:spacing w:line="30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1、承诺在供应商</w:t>
      </w:r>
      <w:r>
        <w:rPr>
          <w:rFonts w:hint="eastAsia" w:ascii="宋体" w:hAnsi="宋体" w:eastAsia="宋体" w:cs="宋体"/>
          <w:kern w:val="44"/>
          <w:sz w:val="24"/>
          <w:szCs w:val="24"/>
          <w:highlight w:val="none"/>
        </w:rPr>
        <w:t>须知</w:t>
      </w:r>
      <w:r>
        <w:rPr>
          <w:rFonts w:hint="eastAsia" w:ascii="宋体" w:hAnsi="宋体" w:eastAsia="宋体" w:cs="宋体"/>
          <w:sz w:val="24"/>
          <w:szCs w:val="24"/>
          <w:highlight w:val="none"/>
        </w:rPr>
        <w:t>规定的投标截止日起遵守本响应文件中的承诺，且在投标有效期满之前均具有约束力。响应文件有效期为自投标截止之日起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个日历天。</w:t>
      </w:r>
    </w:p>
    <w:p w14:paraId="485ED33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2、承诺已经具备规定的参加采购活动的供应商应当具备的条件及采购人规定的特定条件。</w:t>
      </w:r>
    </w:p>
    <w:p w14:paraId="78D96DE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3、已详细审核全部采购文件，包括采购文件补充（如果有）、参考资料及有关附件，确认无误。</w:t>
      </w:r>
    </w:p>
    <w:p w14:paraId="4859DBA2">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w:t>
      </w:r>
      <w:r>
        <w:rPr>
          <w:rFonts w:hint="eastAsia" w:ascii="宋体" w:hAnsi="宋体" w:eastAsia="宋体" w:cs="宋体"/>
          <w:kern w:val="44"/>
          <w:sz w:val="24"/>
          <w:szCs w:val="24"/>
          <w:highlight w:val="none"/>
        </w:rPr>
        <w:t>供应商须知</w:t>
      </w:r>
      <w:r>
        <w:rPr>
          <w:rFonts w:hint="eastAsia" w:ascii="宋体" w:hAnsi="宋体" w:eastAsia="宋体" w:cs="宋体"/>
          <w:sz w:val="24"/>
          <w:szCs w:val="24"/>
          <w:highlight w:val="none"/>
        </w:rPr>
        <w:t>规定的全部响应文件，包括响应文件</w:t>
      </w:r>
      <w:r>
        <w:rPr>
          <w:rFonts w:hint="eastAsia" w:ascii="宋体" w:hAnsi="宋体" w:eastAsia="宋体" w:cs="宋体"/>
          <w:sz w:val="24"/>
          <w:szCs w:val="24"/>
          <w:highlight w:val="none"/>
          <w:u w:val="single"/>
        </w:rPr>
        <w:t>正本1份，副本2份</w:t>
      </w:r>
      <w:r>
        <w:rPr>
          <w:rFonts w:hint="eastAsia" w:ascii="宋体" w:hAnsi="宋体" w:eastAsia="宋体" w:cs="宋体"/>
          <w:sz w:val="24"/>
          <w:szCs w:val="24"/>
          <w:highlight w:val="none"/>
        </w:rPr>
        <w:t>。</w:t>
      </w:r>
    </w:p>
    <w:p w14:paraId="3A4BAFF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5、投标报价详见《开标一览表》。</w:t>
      </w:r>
    </w:p>
    <w:p w14:paraId="04AB6A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6、保证遵守采购文件中的其他有关规定。</w:t>
      </w:r>
    </w:p>
    <w:p w14:paraId="3F1FD36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7、完全理解不一定接受最低价中标。</w:t>
      </w:r>
    </w:p>
    <w:p w14:paraId="42FE32D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9、保证忠实地执行双方所签订的合同，并承担合同规定的责任和义务。</w:t>
      </w:r>
    </w:p>
    <w:p w14:paraId="675AA37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10、我方承诺不存在以下情况：</w:t>
      </w:r>
    </w:p>
    <w:p w14:paraId="1B3F0127">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a）提供虚假材料谋取中标、成交的；</w:t>
      </w:r>
    </w:p>
    <w:p w14:paraId="5B1BE99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b）采取不正当手段诋毁、排挤其他供应商的；</w:t>
      </w:r>
    </w:p>
    <w:p w14:paraId="58DE31E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c）与采购人、其它供应商或者采购代理机构恶意串通的；</w:t>
      </w:r>
    </w:p>
    <w:p w14:paraId="5F2E6800">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d）向采购人、采购代理机构行贿或者提供其他不正当利益的；</w:t>
      </w:r>
    </w:p>
    <w:p w14:paraId="1258C1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e）在采购过程中与采购人进行协商谈判的；</w:t>
      </w:r>
    </w:p>
    <w:p w14:paraId="72029033">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f）拒绝有关部门监督检查或提供虚假情况的。</w:t>
      </w:r>
    </w:p>
    <w:p w14:paraId="6762E78A">
      <w:pPr>
        <w:pStyle w:val="17"/>
        <w:adjustRightInd w:val="0"/>
        <w:snapToGrid w:val="0"/>
        <w:spacing w:line="300" w:lineRule="auto"/>
        <w:ind w:firstLine="480"/>
        <w:rPr>
          <w:rFonts w:hint="eastAsia" w:ascii="宋体" w:hAnsi="宋体" w:eastAsia="宋体" w:cs="宋体"/>
          <w:sz w:val="24"/>
          <w:szCs w:val="24"/>
          <w:highlight w:val="none"/>
        </w:rPr>
      </w:pPr>
    </w:p>
    <w:p w14:paraId="58599271">
      <w:pPr>
        <w:pStyle w:val="17"/>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供应商全称（盖单位公章）：</w:t>
      </w:r>
    </w:p>
    <w:p w14:paraId="7F53D5CF">
      <w:pPr>
        <w:pStyle w:val="17"/>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响应文件签署人（签字或盖章）：</w:t>
      </w:r>
    </w:p>
    <w:p w14:paraId="4E3E6175">
      <w:pPr>
        <w:pStyle w:val="17"/>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日期：年月日</w:t>
      </w:r>
    </w:p>
    <w:p w14:paraId="4A2D97B3">
      <w:pPr>
        <w:pStyle w:val="17"/>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522191D5">
      <w:pPr>
        <w:pStyle w:val="17"/>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14:paraId="6CE4701E">
      <w:pPr>
        <w:pStyle w:val="17"/>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12AE23A4">
      <w:pPr>
        <w:pStyle w:val="17"/>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传真：</w:t>
      </w:r>
    </w:p>
    <w:p w14:paraId="3D99FE0E">
      <w:pPr>
        <w:spacing w:line="360" w:lineRule="auto"/>
        <w:rPr>
          <w:rFonts w:hint="eastAsia" w:ascii="宋体" w:hAnsi="宋体" w:eastAsia="宋体" w:cs="宋体"/>
          <w:b/>
          <w:sz w:val="24"/>
          <w:szCs w:val="24"/>
          <w:highlight w:val="none"/>
        </w:rPr>
      </w:pPr>
      <w:r>
        <w:rPr>
          <w:rFonts w:hint="eastAsia" w:ascii="宋体" w:hAnsi="宋体" w:eastAsia="宋体" w:cs="宋体"/>
          <w:highlight w:val="none"/>
        </w:rPr>
        <w:br w:type="page"/>
      </w:r>
      <w:r>
        <w:rPr>
          <w:rFonts w:hint="eastAsia" w:ascii="宋体" w:hAnsi="宋体" w:eastAsia="宋体" w:cs="宋体"/>
          <w:b/>
          <w:sz w:val="24"/>
          <w:szCs w:val="24"/>
          <w:highlight w:val="none"/>
        </w:rPr>
        <w:t>2、法定代表人资格证明书及法定代表人授权书</w:t>
      </w:r>
    </w:p>
    <w:p w14:paraId="57B430C2">
      <w:pPr>
        <w:spacing w:line="360" w:lineRule="atLeast"/>
        <w:ind w:left="-6" w:leftChars="-3" w:firstLine="420" w:firstLineChars="200"/>
        <w:rPr>
          <w:rFonts w:hint="eastAsia" w:ascii="宋体" w:hAnsi="宋体" w:eastAsia="宋体" w:cs="宋体"/>
          <w:szCs w:val="21"/>
          <w:highlight w:val="none"/>
        </w:rPr>
      </w:pPr>
    </w:p>
    <w:p w14:paraId="36BF5BDE">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（1）法定代表人资格证明书</w:t>
      </w:r>
    </w:p>
    <w:p w14:paraId="663421DF">
      <w:pPr>
        <w:spacing w:line="360" w:lineRule="auto"/>
        <w:rPr>
          <w:rFonts w:hint="eastAsia" w:ascii="宋体" w:hAnsi="宋体" w:eastAsia="宋体" w:cs="宋体"/>
          <w:sz w:val="24"/>
          <w:szCs w:val="24"/>
          <w:highlight w:val="none"/>
        </w:rPr>
      </w:pPr>
    </w:p>
    <w:p w14:paraId="79045A20">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p>
    <w:p w14:paraId="37026FF7">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p>
    <w:p w14:paraId="738E37C3">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    性别：    年龄：    职务：</w:t>
      </w:r>
    </w:p>
    <w:p w14:paraId="31FE164C">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系______________________的法定代表人。</w:t>
      </w:r>
    </w:p>
    <w:p w14:paraId="7BAA2F28">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AE011A9">
      <w:pPr>
        <w:spacing w:line="360" w:lineRule="auto"/>
        <w:ind w:left="4070" w:leftChars="1881" w:hanging="120" w:hangingChars="50"/>
        <w:rPr>
          <w:rFonts w:hint="eastAsia" w:ascii="宋体" w:hAnsi="宋体" w:eastAsia="宋体" w:cs="宋体"/>
          <w:sz w:val="24"/>
          <w:szCs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r>
    </w:tbl>
    <w:p w14:paraId="219CF7DA">
      <w:pPr>
        <w:spacing w:line="360" w:lineRule="auto"/>
        <w:ind w:left="4070" w:leftChars="1881" w:hanging="120" w:hangingChars="50"/>
        <w:rPr>
          <w:rFonts w:hint="eastAsia" w:ascii="宋体" w:hAnsi="宋体" w:eastAsia="宋体" w:cs="宋体"/>
          <w:sz w:val="24"/>
          <w:szCs w:val="24"/>
          <w:highlight w:val="none"/>
        </w:rPr>
      </w:pPr>
    </w:p>
    <w:p w14:paraId="1DDD3639">
      <w:pPr>
        <w:spacing w:line="360" w:lineRule="auto"/>
        <w:ind w:left="4070" w:leftChars="1881" w:hanging="120" w:hangingChars="50"/>
        <w:rPr>
          <w:rFonts w:hint="eastAsia" w:ascii="宋体" w:hAnsi="宋体" w:eastAsia="宋体" w:cs="宋体"/>
          <w:sz w:val="24"/>
          <w:szCs w:val="24"/>
          <w:highlight w:val="none"/>
        </w:rPr>
      </w:pPr>
    </w:p>
    <w:p w14:paraId="4A75DBE2">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磋商供应商（盖章）：</w:t>
      </w:r>
    </w:p>
    <w:p w14:paraId="26814944">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48E4793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00AFFB6">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（2）法定代表人授权书</w:t>
      </w:r>
    </w:p>
    <w:p w14:paraId="41009C98">
      <w:pPr>
        <w:spacing w:line="360" w:lineRule="auto"/>
        <w:rPr>
          <w:rFonts w:hint="eastAsia" w:ascii="宋体" w:hAnsi="宋体" w:eastAsia="宋体" w:cs="宋体"/>
          <w:sz w:val="24"/>
          <w:szCs w:val="24"/>
          <w:highlight w:val="none"/>
        </w:rPr>
      </w:pPr>
    </w:p>
    <w:p w14:paraId="4F8444E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委托期限：</w:t>
      </w:r>
      <w:r>
        <w:rPr>
          <w:rFonts w:hint="eastAsia" w:ascii="宋体" w:hAnsi="宋体" w:eastAsia="宋体" w:cs="宋体"/>
          <w:sz w:val="24"/>
          <w:szCs w:val="24"/>
          <w:highlight w:val="none"/>
          <w:u w:val="single"/>
        </w:rPr>
        <w:t>同本项目磋商有效期。</w:t>
      </w:r>
    </w:p>
    <w:p w14:paraId="48DA330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授权委托人无转委托权。</w:t>
      </w:r>
    </w:p>
    <w:p w14:paraId="75E496E4">
      <w:pPr>
        <w:spacing w:line="360" w:lineRule="auto"/>
        <w:rPr>
          <w:rFonts w:hint="eastAsia" w:ascii="宋体" w:hAnsi="宋体" w:eastAsia="宋体" w:cs="宋体"/>
          <w:sz w:val="24"/>
          <w:szCs w:val="24"/>
          <w:highlight w:val="none"/>
        </w:rPr>
      </w:pPr>
    </w:p>
    <w:p w14:paraId="5D7D92A0">
      <w:pPr>
        <w:rPr>
          <w:rFonts w:hint="eastAsia" w:ascii="宋体" w:hAnsi="宋体" w:eastAsia="宋体" w:cs="宋体"/>
          <w:sz w:val="24"/>
          <w:szCs w:val="22"/>
          <w:highlight w:val="none"/>
        </w:rPr>
      </w:pPr>
    </w:p>
    <w:p w14:paraId="356EF03F">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磋商供应商全称（公章）：</w:t>
      </w:r>
    </w:p>
    <w:p w14:paraId="7C037ED8">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2D261C21">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2A11FAFA">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授权委托人：（签字或盖章）</w:t>
      </w:r>
    </w:p>
    <w:p w14:paraId="0ED60C42">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44A105BC">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7065DB41">
      <w:pPr>
        <w:spacing w:line="360" w:lineRule="auto"/>
        <w:rPr>
          <w:rFonts w:hint="eastAsia" w:ascii="宋体" w:hAnsi="宋体" w:eastAsia="宋体" w:cs="宋体"/>
          <w:sz w:val="24"/>
          <w:szCs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c>
          <w:tcPr>
            <w:tcW w:w="4299" w:type="dxa"/>
            <w:vAlign w:val="center"/>
          </w:tcPr>
          <w:p w14:paraId="28DD0E6B">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磋商响应供应商代表身份证复印件</w:t>
            </w:r>
          </w:p>
        </w:tc>
      </w:tr>
    </w:tbl>
    <w:p w14:paraId="75BCB674">
      <w:pPr>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3、资格证明文件</w:t>
      </w:r>
    </w:p>
    <w:p w14:paraId="63B08476">
      <w:pPr>
        <w:spacing w:line="360" w:lineRule="atLeast"/>
        <w:ind w:firstLine="723" w:firstLineChars="300"/>
        <w:rPr>
          <w:rFonts w:hint="eastAsia" w:ascii="宋体" w:hAnsi="宋体" w:eastAsia="宋体" w:cs="宋体"/>
          <w:b/>
          <w:sz w:val="24"/>
          <w:szCs w:val="24"/>
          <w:highlight w:val="none"/>
        </w:rPr>
      </w:pPr>
    </w:p>
    <w:p w14:paraId="05D69AAE">
      <w:pPr>
        <w:pStyle w:val="28"/>
        <w:tabs>
          <w:tab w:val="left" w:pos="630"/>
          <w:tab w:val="left" w:pos="840"/>
          <w:tab w:val="left" w:pos="1050"/>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基本资格条件相关证明材料</w:t>
      </w:r>
    </w:p>
    <w:p w14:paraId="14F8C9B3">
      <w:pPr>
        <w:pStyle w:val="28"/>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bCs/>
          <w:szCs w:val="24"/>
          <w:highlight w:val="none"/>
        </w:rPr>
      </w:pPr>
      <w:r>
        <w:rPr>
          <w:rFonts w:hint="eastAsia" w:ascii="宋体" w:hAnsi="宋体" w:eastAsia="宋体" w:cs="宋体"/>
          <w:bCs/>
          <w:szCs w:val="24"/>
          <w:highlight w:val="none"/>
        </w:rPr>
        <w:t>具有独立承担民事责任能力的证明材料：</w:t>
      </w:r>
    </w:p>
    <w:p w14:paraId="275E8C41">
      <w:pPr>
        <w:pStyle w:val="28"/>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szCs w:val="24"/>
          <w:highlight w:val="none"/>
        </w:rPr>
      </w:pPr>
      <w:r>
        <w:rPr>
          <w:rFonts w:hint="eastAsia" w:ascii="宋体" w:hAnsi="宋体" w:eastAsia="宋体" w:cs="宋体"/>
          <w:bCs/>
          <w:szCs w:val="24"/>
          <w:highlight w:val="none"/>
        </w:rPr>
        <w:t>供应商须在响应文件中出具符合以下情况的证明材料复印件（五选一）：</w:t>
      </w:r>
    </w:p>
    <w:p w14:paraId="7137643D">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如供应商是企业（包括合伙企业），提供在工商部门注册的有效“企业法人营业执照”或“营业执照”；</w:t>
      </w:r>
    </w:p>
    <w:p w14:paraId="750D7510">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如供应商是事业单位，提供有效的“事业单位法人证书”；</w:t>
      </w:r>
    </w:p>
    <w:p w14:paraId="2050DF39">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如供应商是非企业专业服务机构的，提供执业许可证等证明文件；</w:t>
      </w:r>
    </w:p>
    <w:p w14:paraId="599063A6">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如供应商是个体工商户，提供有效的“个体工商户营业执照”；</w:t>
      </w:r>
    </w:p>
    <w:p w14:paraId="134BBE42">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如供应商是自然人，提供有效的自然人身份证明（居民身份证正反面或公安机关出具的临时居民身份证正反面或港澳台胞证或护照）。</w:t>
      </w:r>
    </w:p>
    <w:p w14:paraId="5BCEB37B">
      <w:pPr>
        <w:pStyle w:val="28"/>
        <w:tabs>
          <w:tab w:val="left" w:pos="312"/>
        </w:tabs>
        <w:adjustRightInd w:val="0"/>
        <w:snapToGrid w:val="0"/>
        <w:spacing w:before="0" w:beforeAutospacing="0" w:after="0" w:afterAutospacing="0"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br w:type="page"/>
      </w:r>
    </w:p>
    <w:p w14:paraId="23C856CB">
      <w:pPr>
        <w:pStyle w:val="28"/>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szCs w:val="24"/>
          <w:highlight w:val="none"/>
        </w:rPr>
      </w:pPr>
      <w:r>
        <w:rPr>
          <w:rFonts w:hint="eastAsia" w:ascii="宋体" w:hAnsi="宋体" w:eastAsia="宋体" w:cs="宋体"/>
          <w:szCs w:val="24"/>
          <w:highlight w:val="none"/>
        </w:rPr>
        <w:t>符合参与采购活动资格条件的承诺函：</w:t>
      </w:r>
    </w:p>
    <w:p w14:paraId="57B66CCE">
      <w:pPr>
        <w:pStyle w:val="28"/>
        <w:adjustRightInd w:val="0"/>
        <w:snapToGrid w:val="0"/>
        <w:spacing w:before="0" w:beforeAutospacing="0" w:after="0" w:afterAutospacing="0" w:line="360" w:lineRule="auto"/>
        <w:ind w:left="420" w:leftChars="200"/>
        <w:rPr>
          <w:rFonts w:hint="eastAsia" w:ascii="宋体" w:hAnsi="宋体" w:eastAsia="宋体" w:cs="宋体"/>
          <w:sz w:val="21"/>
          <w:szCs w:val="21"/>
          <w:highlight w:val="none"/>
        </w:rPr>
      </w:pPr>
    </w:p>
    <w:p w14:paraId="0C790A7C">
      <w:pPr>
        <w:pStyle w:val="28"/>
        <w:adjustRightInd w:val="0"/>
        <w:snapToGrid w:val="0"/>
        <w:spacing w:before="0" w:beforeAutospacing="0" w:after="0" w:afterAutospacing="0"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承诺函</w:t>
      </w:r>
    </w:p>
    <w:p w14:paraId="1A93DCE3">
      <w:pPr>
        <w:spacing w:line="480" w:lineRule="auto"/>
        <w:rPr>
          <w:rFonts w:hint="eastAsia" w:ascii="宋体" w:hAnsi="宋体" w:eastAsia="宋体" w:cs="宋体"/>
          <w:szCs w:val="21"/>
          <w:highlight w:val="none"/>
          <w:u w:val="single"/>
        </w:rPr>
      </w:pPr>
    </w:p>
    <w:p w14:paraId="358DBFE4">
      <w:pPr>
        <w:spacing w:line="48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w:t>
      </w:r>
    </w:p>
    <w:p w14:paraId="1A0755FD">
      <w:pPr>
        <w:pStyle w:val="28"/>
        <w:spacing w:before="0" w:beforeAutospacing="0" w:after="0" w:afterAutospacing="0" w:line="480" w:lineRule="auto"/>
        <w:ind w:firstLine="960" w:firstLineChars="400"/>
        <w:rPr>
          <w:rFonts w:hint="eastAsia" w:ascii="宋体" w:hAnsi="宋体" w:eastAsia="宋体" w:cs="宋体"/>
          <w:szCs w:val="24"/>
          <w:highlight w:val="none"/>
        </w:rPr>
      </w:pPr>
    </w:p>
    <w:p w14:paraId="267A7B51">
      <w:pPr>
        <w:pStyle w:val="28"/>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w:t>
      </w:r>
      <w:r>
        <w:rPr>
          <w:rFonts w:hint="eastAsia" w:ascii="宋体" w:hAnsi="宋体" w:eastAsia="宋体" w:cs="宋体"/>
          <w:i/>
          <w:iCs/>
          <w:szCs w:val="24"/>
          <w:highlight w:val="none"/>
          <w:u w:val="single"/>
        </w:rPr>
        <w:t>（供应商全称）</w:t>
      </w:r>
      <w:r>
        <w:rPr>
          <w:rFonts w:hint="eastAsia" w:ascii="宋体" w:hAnsi="宋体" w:eastAsia="宋体" w:cs="宋体"/>
          <w:szCs w:val="24"/>
          <w:highlight w:val="none"/>
        </w:rPr>
        <w:t>参与</w:t>
      </w:r>
      <w:r>
        <w:rPr>
          <w:rFonts w:hint="eastAsia" w:ascii="宋体" w:hAnsi="宋体" w:eastAsia="宋体" w:cs="宋体"/>
          <w:i/>
          <w:iCs/>
          <w:szCs w:val="24"/>
          <w:highlight w:val="none"/>
          <w:u w:val="single"/>
        </w:rPr>
        <w:t>（项目名称）</w:t>
      </w:r>
      <w:r>
        <w:rPr>
          <w:rFonts w:hint="eastAsia" w:ascii="宋体" w:hAnsi="宋体" w:eastAsia="宋体" w:cs="宋体"/>
          <w:szCs w:val="24"/>
          <w:highlight w:val="none"/>
        </w:rPr>
        <w:t>采购活动，针对供应商资格要求做如下承诺：</w:t>
      </w:r>
    </w:p>
    <w:p w14:paraId="43D992F0">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我方具有良好的商业信誉和健全的财务会计制度；</w:t>
      </w:r>
    </w:p>
    <w:p w14:paraId="0CE6EA17">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我方具有履行本项目合同所必需的设备和专业技术能力；</w:t>
      </w:r>
    </w:p>
    <w:p w14:paraId="11AF3339">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我方没有缴纳税收和社会保障等方面的失信记录；</w:t>
      </w:r>
    </w:p>
    <w:p w14:paraId="094CD466">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8"/>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我方对上述承诺内容的真实性负责。如有虚假，将依法承担相应责任。</w:t>
      </w:r>
    </w:p>
    <w:p w14:paraId="4B960995">
      <w:pPr>
        <w:pStyle w:val="28"/>
        <w:spacing w:before="0" w:beforeAutospacing="0" w:after="0" w:afterAutospacing="0" w:line="480" w:lineRule="auto"/>
        <w:ind w:firstLine="480" w:firstLineChars="200"/>
        <w:rPr>
          <w:rFonts w:hint="eastAsia" w:ascii="宋体" w:hAnsi="宋体" w:eastAsia="宋体" w:cs="宋体"/>
          <w:szCs w:val="24"/>
          <w:highlight w:val="none"/>
        </w:rPr>
      </w:pPr>
    </w:p>
    <w:p w14:paraId="55FA66AE">
      <w:pPr>
        <w:pStyle w:val="28"/>
        <w:spacing w:before="0" w:beforeAutospacing="0" w:after="0" w:afterAutospacing="0" w:line="480" w:lineRule="auto"/>
        <w:ind w:firstLine="482" w:firstLineChars="200"/>
        <w:rPr>
          <w:rFonts w:hint="eastAsia" w:ascii="宋体" w:hAnsi="宋体" w:eastAsia="宋体" w:cs="宋体"/>
          <w:b/>
          <w:bCs/>
          <w:szCs w:val="24"/>
          <w:highlight w:val="none"/>
        </w:rPr>
      </w:pPr>
    </w:p>
    <w:p w14:paraId="0241FAFB">
      <w:pPr>
        <w:pStyle w:val="28"/>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供应商名称（盖章）：</w:t>
      </w:r>
    </w:p>
    <w:p w14:paraId="38461386">
      <w:pPr>
        <w:pStyle w:val="28"/>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法定代表人或授权代表（签字或盖章）</w:t>
      </w:r>
    </w:p>
    <w:p w14:paraId="7367D931">
      <w:pPr>
        <w:pStyle w:val="31"/>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20411A7">
      <w:pPr>
        <w:autoSpaceDE w:val="0"/>
        <w:autoSpaceDN w:val="0"/>
        <w:adjustRightInd w:val="0"/>
        <w:snapToGrid w:val="0"/>
        <w:spacing w:line="360" w:lineRule="auto"/>
        <w:ind w:firstLine="480" w:firstLineChars="200"/>
        <w:textAlignment w:val="bottom"/>
        <w:rPr>
          <w:rFonts w:hint="eastAsia" w:ascii="宋体" w:hAnsi="宋体" w:eastAsia="宋体" w:cs="宋体"/>
          <w:highlight w:val="none"/>
        </w:rPr>
      </w:pPr>
      <w:r>
        <w:rPr>
          <w:rFonts w:hint="eastAsia" w:ascii="宋体" w:hAnsi="宋体" w:eastAsia="宋体" w:cs="宋体"/>
          <w:sz w:val="24"/>
          <w:szCs w:val="22"/>
          <w:highlight w:val="none"/>
        </w:rPr>
        <w:br w:type="page"/>
      </w:r>
    </w:p>
    <w:p w14:paraId="21262064">
      <w:pPr>
        <w:pStyle w:val="42"/>
        <w:ind w:firstLine="241" w:firstLineChars="100"/>
        <w:jc w:val="center"/>
        <w:rPr>
          <w:rFonts w:hint="eastAsia" w:ascii="宋体" w:hAnsi="宋体" w:eastAsia="宋体" w:cs="宋体"/>
          <w:b/>
          <w:bCs/>
          <w:highlight w:val="none"/>
        </w:rPr>
      </w:pPr>
      <w:r>
        <w:rPr>
          <w:rFonts w:hint="eastAsia" w:ascii="宋体" w:hAnsi="宋体" w:eastAsia="宋体" w:cs="宋体"/>
          <w:b/>
          <w:bCs/>
          <w:highlight w:val="none"/>
        </w:rPr>
        <w:t>采购内容与需求响应表</w:t>
      </w:r>
    </w:p>
    <w:p w14:paraId="4EB56562">
      <w:pPr>
        <w:snapToGrid w:val="0"/>
        <w:spacing w:line="360" w:lineRule="auto"/>
        <w:rPr>
          <w:rFonts w:hint="eastAsia" w:ascii="宋体" w:hAnsi="宋体" w:eastAsia="宋体" w:cs="宋体"/>
          <w:highlight w:val="none"/>
        </w:rPr>
      </w:pPr>
    </w:p>
    <w:p w14:paraId="1FFF3E4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p>
    <w:p w14:paraId="1E046C21">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项目编号：</w:t>
      </w:r>
    </w:p>
    <w:p w14:paraId="2AB4F506">
      <w:pPr>
        <w:snapToGrid w:val="0"/>
        <w:spacing w:line="360" w:lineRule="auto"/>
        <w:rPr>
          <w:rFonts w:hint="eastAsia" w:ascii="宋体" w:hAnsi="宋体" w:eastAsia="宋体" w:cs="宋体"/>
          <w:sz w:val="24"/>
          <w:szCs w:val="24"/>
          <w:highlight w:val="none"/>
        </w:rPr>
      </w:pPr>
    </w:p>
    <w:tbl>
      <w:tblPr>
        <w:tblStyle w:val="33"/>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58" w:type="dxa"/>
            <w:vAlign w:val="center"/>
          </w:tcPr>
          <w:p w14:paraId="60E163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采购要求</w:t>
            </w:r>
          </w:p>
        </w:tc>
        <w:tc>
          <w:tcPr>
            <w:tcW w:w="2458" w:type="dxa"/>
            <w:vAlign w:val="center"/>
          </w:tcPr>
          <w:p w14:paraId="41BD5FF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w:t>
            </w:r>
          </w:p>
        </w:tc>
        <w:tc>
          <w:tcPr>
            <w:tcW w:w="1432" w:type="dxa"/>
            <w:vAlign w:val="center"/>
          </w:tcPr>
          <w:p w14:paraId="191894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432" w:type="dxa"/>
            <w:vAlign w:val="center"/>
          </w:tcPr>
          <w:p w14:paraId="5F151E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rFonts w:hint="eastAsia" w:ascii="宋体" w:hAnsi="宋体" w:eastAsia="宋体" w:cs="宋体"/>
                <w:sz w:val="24"/>
                <w:szCs w:val="24"/>
                <w:highlight w:val="none"/>
              </w:rPr>
            </w:pPr>
          </w:p>
        </w:tc>
        <w:tc>
          <w:tcPr>
            <w:tcW w:w="2458" w:type="dxa"/>
            <w:vAlign w:val="center"/>
          </w:tcPr>
          <w:p w14:paraId="1AEAC750">
            <w:pPr>
              <w:spacing w:after="156"/>
              <w:jc w:val="center"/>
              <w:rPr>
                <w:rFonts w:hint="eastAsia" w:ascii="宋体" w:hAnsi="宋体" w:eastAsia="宋体" w:cs="宋体"/>
                <w:sz w:val="24"/>
                <w:szCs w:val="24"/>
                <w:highlight w:val="none"/>
              </w:rPr>
            </w:pPr>
          </w:p>
        </w:tc>
        <w:tc>
          <w:tcPr>
            <w:tcW w:w="2458" w:type="dxa"/>
            <w:vAlign w:val="center"/>
          </w:tcPr>
          <w:p w14:paraId="3BED0C2C">
            <w:pPr>
              <w:spacing w:after="156"/>
              <w:jc w:val="center"/>
              <w:rPr>
                <w:rFonts w:hint="eastAsia" w:ascii="宋体" w:hAnsi="宋体" w:eastAsia="宋体" w:cs="宋体"/>
                <w:sz w:val="24"/>
                <w:szCs w:val="24"/>
                <w:highlight w:val="none"/>
              </w:rPr>
            </w:pPr>
          </w:p>
        </w:tc>
        <w:tc>
          <w:tcPr>
            <w:tcW w:w="1432" w:type="dxa"/>
            <w:vAlign w:val="center"/>
          </w:tcPr>
          <w:p w14:paraId="0FF8D219">
            <w:pPr>
              <w:spacing w:after="156"/>
              <w:jc w:val="center"/>
              <w:rPr>
                <w:rFonts w:hint="eastAsia" w:ascii="宋体" w:hAnsi="宋体" w:eastAsia="宋体" w:cs="宋体"/>
                <w:sz w:val="24"/>
                <w:szCs w:val="24"/>
                <w:highlight w:val="none"/>
              </w:rPr>
            </w:pPr>
          </w:p>
        </w:tc>
        <w:tc>
          <w:tcPr>
            <w:tcW w:w="1432" w:type="dxa"/>
            <w:vAlign w:val="center"/>
          </w:tcPr>
          <w:p w14:paraId="57A0C1F4">
            <w:pPr>
              <w:spacing w:after="156"/>
              <w:jc w:val="center"/>
              <w:rPr>
                <w:rFonts w:hint="eastAsia" w:ascii="宋体" w:hAnsi="宋体" w:eastAsia="宋体" w:cs="宋体"/>
                <w:sz w:val="24"/>
                <w:szCs w:val="24"/>
                <w:highlight w:val="none"/>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rFonts w:hint="eastAsia" w:ascii="宋体" w:hAnsi="宋体" w:eastAsia="宋体" w:cs="宋体"/>
                <w:sz w:val="24"/>
                <w:szCs w:val="24"/>
                <w:highlight w:val="none"/>
              </w:rPr>
            </w:pPr>
          </w:p>
        </w:tc>
        <w:tc>
          <w:tcPr>
            <w:tcW w:w="2458" w:type="dxa"/>
            <w:vAlign w:val="center"/>
          </w:tcPr>
          <w:p w14:paraId="2AF430FE">
            <w:pPr>
              <w:spacing w:after="156"/>
              <w:jc w:val="center"/>
              <w:rPr>
                <w:rFonts w:hint="eastAsia" w:ascii="宋体" w:hAnsi="宋体" w:eastAsia="宋体" w:cs="宋体"/>
                <w:sz w:val="24"/>
                <w:szCs w:val="24"/>
                <w:highlight w:val="none"/>
              </w:rPr>
            </w:pPr>
          </w:p>
        </w:tc>
        <w:tc>
          <w:tcPr>
            <w:tcW w:w="2458" w:type="dxa"/>
            <w:vAlign w:val="center"/>
          </w:tcPr>
          <w:p w14:paraId="75085B02">
            <w:pPr>
              <w:spacing w:after="156"/>
              <w:jc w:val="center"/>
              <w:rPr>
                <w:rFonts w:hint="eastAsia" w:ascii="宋体" w:hAnsi="宋体" w:eastAsia="宋体" w:cs="宋体"/>
                <w:sz w:val="24"/>
                <w:szCs w:val="24"/>
                <w:highlight w:val="none"/>
              </w:rPr>
            </w:pPr>
          </w:p>
        </w:tc>
        <w:tc>
          <w:tcPr>
            <w:tcW w:w="1432" w:type="dxa"/>
            <w:vAlign w:val="center"/>
          </w:tcPr>
          <w:p w14:paraId="5C985AA7">
            <w:pPr>
              <w:spacing w:after="156"/>
              <w:jc w:val="center"/>
              <w:rPr>
                <w:rFonts w:hint="eastAsia" w:ascii="宋体" w:hAnsi="宋体" w:eastAsia="宋体" w:cs="宋体"/>
                <w:sz w:val="24"/>
                <w:szCs w:val="24"/>
                <w:highlight w:val="none"/>
              </w:rPr>
            </w:pPr>
          </w:p>
        </w:tc>
        <w:tc>
          <w:tcPr>
            <w:tcW w:w="1432" w:type="dxa"/>
            <w:vAlign w:val="center"/>
          </w:tcPr>
          <w:p w14:paraId="5BDAAD7B">
            <w:pPr>
              <w:spacing w:after="156"/>
              <w:jc w:val="center"/>
              <w:rPr>
                <w:rFonts w:hint="eastAsia" w:ascii="宋体" w:hAnsi="宋体" w:eastAsia="宋体" w:cs="宋体"/>
                <w:sz w:val="24"/>
                <w:szCs w:val="24"/>
                <w:highlight w:val="none"/>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rFonts w:hint="eastAsia" w:ascii="宋体" w:hAnsi="宋体" w:eastAsia="宋体" w:cs="宋体"/>
                <w:sz w:val="24"/>
                <w:szCs w:val="24"/>
                <w:highlight w:val="none"/>
              </w:rPr>
            </w:pPr>
          </w:p>
        </w:tc>
        <w:tc>
          <w:tcPr>
            <w:tcW w:w="2458" w:type="dxa"/>
            <w:vAlign w:val="center"/>
          </w:tcPr>
          <w:p w14:paraId="605E7135">
            <w:pPr>
              <w:spacing w:after="156"/>
              <w:jc w:val="center"/>
              <w:rPr>
                <w:rFonts w:hint="eastAsia" w:ascii="宋体" w:hAnsi="宋体" w:eastAsia="宋体" w:cs="宋体"/>
                <w:sz w:val="24"/>
                <w:szCs w:val="24"/>
                <w:highlight w:val="none"/>
              </w:rPr>
            </w:pPr>
          </w:p>
        </w:tc>
        <w:tc>
          <w:tcPr>
            <w:tcW w:w="2458" w:type="dxa"/>
            <w:vAlign w:val="center"/>
          </w:tcPr>
          <w:p w14:paraId="2229F58B">
            <w:pPr>
              <w:spacing w:after="156"/>
              <w:jc w:val="center"/>
              <w:rPr>
                <w:rFonts w:hint="eastAsia" w:ascii="宋体" w:hAnsi="宋体" w:eastAsia="宋体" w:cs="宋体"/>
                <w:sz w:val="24"/>
                <w:szCs w:val="24"/>
                <w:highlight w:val="none"/>
              </w:rPr>
            </w:pPr>
          </w:p>
        </w:tc>
        <w:tc>
          <w:tcPr>
            <w:tcW w:w="1432" w:type="dxa"/>
            <w:vAlign w:val="center"/>
          </w:tcPr>
          <w:p w14:paraId="3EBD8F91">
            <w:pPr>
              <w:spacing w:after="156"/>
              <w:jc w:val="center"/>
              <w:rPr>
                <w:rFonts w:hint="eastAsia" w:ascii="宋体" w:hAnsi="宋体" w:eastAsia="宋体" w:cs="宋体"/>
                <w:sz w:val="24"/>
                <w:szCs w:val="24"/>
                <w:highlight w:val="none"/>
              </w:rPr>
            </w:pPr>
          </w:p>
        </w:tc>
        <w:tc>
          <w:tcPr>
            <w:tcW w:w="1432" w:type="dxa"/>
            <w:vAlign w:val="center"/>
          </w:tcPr>
          <w:p w14:paraId="09397EC0">
            <w:pPr>
              <w:spacing w:after="156"/>
              <w:jc w:val="center"/>
              <w:rPr>
                <w:rFonts w:hint="eastAsia" w:ascii="宋体" w:hAnsi="宋体" w:eastAsia="宋体" w:cs="宋体"/>
                <w:sz w:val="24"/>
                <w:szCs w:val="24"/>
                <w:highlight w:val="none"/>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rFonts w:hint="eastAsia" w:ascii="宋体" w:hAnsi="宋体" w:eastAsia="宋体" w:cs="宋体"/>
                <w:sz w:val="24"/>
                <w:szCs w:val="24"/>
                <w:highlight w:val="none"/>
              </w:rPr>
            </w:pPr>
          </w:p>
        </w:tc>
        <w:tc>
          <w:tcPr>
            <w:tcW w:w="2458" w:type="dxa"/>
            <w:vAlign w:val="center"/>
          </w:tcPr>
          <w:p w14:paraId="56175974">
            <w:pPr>
              <w:spacing w:after="156"/>
              <w:jc w:val="center"/>
              <w:rPr>
                <w:rFonts w:hint="eastAsia" w:ascii="宋体" w:hAnsi="宋体" w:eastAsia="宋体" w:cs="宋体"/>
                <w:sz w:val="24"/>
                <w:szCs w:val="24"/>
                <w:highlight w:val="none"/>
              </w:rPr>
            </w:pPr>
          </w:p>
        </w:tc>
        <w:tc>
          <w:tcPr>
            <w:tcW w:w="2458" w:type="dxa"/>
            <w:vAlign w:val="center"/>
          </w:tcPr>
          <w:p w14:paraId="58CF9F4A">
            <w:pPr>
              <w:spacing w:after="156"/>
              <w:jc w:val="center"/>
              <w:rPr>
                <w:rFonts w:hint="eastAsia" w:ascii="宋体" w:hAnsi="宋体" w:eastAsia="宋体" w:cs="宋体"/>
                <w:sz w:val="24"/>
                <w:szCs w:val="24"/>
                <w:highlight w:val="none"/>
              </w:rPr>
            </w:pPr>
          </w:p>
        </w:tc>
        <w:tc>
          <w:tcPr>
            <w:tcW w:w="1432" w:type="dxa"/>
            <w:vAlign w:val="center"/>
          </w:tcPr>
          <w:p w14:paraId="301EC628">
            <w:pPr>
              <w:spacing w:after="156"/>
              <w:jc w:val="center"/>
              <w:rPr>
                <w:rFonts w:hint="eastAsia" w:ascii="宋体" w:hAnsi="宋体" w:eastAsia="宋体" w:cs="宋体"/>
                <w:sz w:val="24"/>
                <w:szCs w:val="24"/>
                <w:highlight w:val="none"/>
              </w:rPr>
            </w:pPr>
          </w:p>
        </w:tc>
        <w:tc>
          <w:tcPr>
            <w:tcW w:w="1432" w:type="dxa"/>
            <w:vAlign w:val="center"/>
          </w:tcPr>
          <w:p w14:paraId="27A4B211">
            <w:pPr>
              <w:spacing w:after="156"/>
              <w:jc w:val="center"/>
              <w:rPr>
                <w:rFonts w:hint="eastAsia" w:ascii="宋体" w:hAnsi="宋体" w:eastAsia="宋体" w:cs="宋体"/>
                <w:sz w:val="24"/>
                <w:szCs w:val="24"/>
                <w:highlight w:val="none"/>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rFonts w:hint="eastAsia" w:ascii="宋体" w:hAnsi="宋体" w:eastAsia="宋体" w:cs="宋体"/>
                <w:sz w:val="24"/>
                <w:szCs w:val="24"/>
                <w:highlight w:val="none"/>
              </w:rPr>
            </w:pPr>
          </w:p>
        </w:tc>
        <w:tc>
          <w:tcPr>
            <w:tcW w:w="2458" w:type="dxa"/>
            <w:vAlign w:val="center"/>
          </w:tcPr>
          <w:p w14:paraId="4DE36CA8">
            <w:pPr>
              <w:spacing w:after="156"/>
              <w:jc w:val="center"/>
              <w:rPr>
                <w:rFonts w:hint="eastAsia" w:ascii="宋体" w:hAnsi="宋体" w:eastAsia="宋体" w:cs="宋体"/>
                <w:sz w:val="24"/>
                <w:szCs w:val="24"/>
                <w:highlight w:val="none"/>
              </w:rPr>
            </w:pPr>
          </w:p>
        </w:tc>
        <w:tc>
          <w:tcPr>
            <w:tcW w:w="2458" w:type="dxa"/>
            <w:vAlign w:val="center"/>
          </w:tcPr>
          <w:p w14:paraId="28CC3E00">
            <w:pPr>
              <w:spacing w:after="156"/>
              <w:jc w:val="center"/>
              <w:rPr>
                <w:rFonts w:hint="eastAsia" w:ascii="宋体" w:hAnsi="宋体" w:eastAsia="宋体" w:cs="宋体"/>
                <w:sz w:val="24"/>
                <w:szCs w:val="24"/>
                <w:highlight w:val="none"/>
              </w:rPr>
            </w:pPr>
          </w:p>
        </w:tc>
        <w:tc>
          <w:tcPr>
            <w:tcW w:w="1432" w:type="dxa"/>
            <w:vAlign w:val="center"/>
          </w:tcPr>
          <w:p w14:paraId="3E735F17">
            <w:pPr>
              <w:spacing w:after="156"/>
              <w:jc w:val="center"/>
              <w:rPr>
                <w:rFonts w:hint="eastAsia" w:ascii="宋体" w:hAnsi="宋体" w:eastAsia="宋体" w:cs="宋体"/>
                <w:sz w:val="24"/>
                <w:szCs w:val="24"/>
                <w:highlight w:val="none"/>
              </w:rPr>
            </w:pPr>
          </w:p>
        </w:tc>
        <w:tc>
          <w:tcPr>
            <w:tcW w:w="1432" w:type="dxa"/>
            <w:vAlign w:val="center"/>
          </w:tcPr>
          <w:p w14:paraId="6B13CE11">
            <w:pPr>
              <w:spacing w:after="156"/>
              <w:jc w:val="center"/>
              <w:rPr>
                <w:rFonts w:hint="eastAsia" w:ascii="宋体" w:hAnsi="宋体" w:eastAsia="宋体" w:cs="宋体"/>
                <w:sz w:val="24"/>
                <w:szCs w:val="24"/>
                <w:highlight w:val="none"/>
              </w:rPr>
            </w:pPr>
          </w:p>
        </w:tc>
      </w:tr>
    </w:tbl>
    <w:p w14:paraId="2287F0D9">
      <w:pPr>
        <w:snapToGrid w:val="0"/>
        <w:spacing w:line="360" w:lineRule="auto"/>
        <w:rPr>
          <w:rFonts w:hint="eastAsia" w:ascii="宋体" w:hAnsi="宋体" w:eastAsia="宋体" w:cs="宋体"/>
          <w:sz w:val="24"/>
          <w:szCs w:val="24"/>
          <w:highlight w:val="none"/>
        </w:rPr>
      </w:pPr>
    </w:p>
    <w:p w14:paraId="542F847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声明：除本偏离表所列的偏离外，其它均完全响应“磋商文件”中的要求。</w:t>
      </w:r>
    </w:p>
    <w:p w14:paraId="3DFA3FBF">
      <w:pPr>
        <w:snapToGrid w:val="0"/>
        <w:spacing w:line="360" w:lineRule="auto"/>
        <w:rPr>
          <w:rFonts w:hint="eastAsia" w:ascii="宋体" w:hAnsi="宋体" w:eastAsia="宋体" w:cs="宋体"/>
          <w:sz w:val="24"/>
          <w:szCs w:val="24"/>
          <w:highlight w:val="none"/>
          <w:u w:val="single"/>
        </w:rPr>
      </w:pPr>
    </w:p>
    <w:p w14:paraId="446C4CCA">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投标人全称（盖单位公章）：</w:t>
      </w:r>
    </w:p>
    <w:p w14:paraId="09CAC963">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法定代表人或授权委托人（签字或盖章）：</w:t>
      </w:r>
    </w:p>
    <w:p w14:paraId="439C92F0">
      <w:pPr>
        <w:snapToGrid w:val="0"/>
        <w:spacing w:line="360" w:lineRule="auto"/>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 xml:space="preserve">日期：  </w:t>
      </w:r>
      <w:r>
        <w:rPr>
          <w:rFonts w:hint="eastAsia" w:ascii="宋体" w:hAnsi="宋体" w:eastAsia="宋体" w:cs="宋体"/>
          <w:sz w:val="24"/>
          <w:szCs w:val="24"/>
          <w:highlight w:val="none"/>
        </w:rPr>
        <w:t>年  月  日</w:t>
      </w:r>
    </w:p>
    <w:p w14:paraId="68BDCEF6">
      <w:pPr>
        <w:snapToGrid w:val="0"/>
        <w:spacing w:line="360" w:lineRule="auto"/>
        <w:rPr>
          <w:rFonts w:hint="eastAsia" w:ascii="宋体" w:hAnsi="宋体" w:eastAsia="宋体" w:cs="宋体"/>
          <w:sz w:val="24"/>
          <w:szCs w:val="24"/>
          <w:highlight w:val="none"/>
        </w:rPr>
      </w:pPr>
    </w:p>
    <w:p w14:paraId="54B9A20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08A17F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1、与第二章“</w:t>
      </w:r>
      <w:r>
        <w:rPr>
          <w:rFonts w:hint="eastAsia" w:ascii="宋体" w:hAnsi="宋体" w:eastAsia="宋体" w:cs="宋体"/>
          <w:b/>
          <w:sz w:val="24"/>
          <w:szCs w:val="24"/>
          <w:highlight w:val="none"/>
        </w:rPr>
        <w:t>采购内容及需求</w:t>
      </w:r>
      <w:r>
        <w:rPr>
          <w:rFonts w:hint="eastAsia" w:ascii="宋体" w:hAnsi="宋体" w:eastAsia="宋体" w:cs="宋体"/>
          <w:sz w:val="24"/>
          <w:szCs w:val="24"/>
          <w:highlight w:val="none"/>
        </w:rPr>
        <w:t>”逐条对应</w:t>
      </w:r>
    </w:p>
    <w:p w14:paraId="7CC68A1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2、“偏离情况”栏填写：“正偏离”或“负偏离”或“符合”</w:t>
      </w:r>
    </w:p>
    <w:p w14:paraId="67AC7E14">
      <w:pPr>
        <w:pStyle w:val="31"/>
        <w:ind w:firstLine="0" w:firstLineChars="0"/>
        <w:jc w:val="center"/>
        <w:rPr>
          <w:rFonts w:hint="eastAsia" w:ascii="宋体" w:hAnsi="宋体" w:eastAsia="宋体" w:cs="宋体"/>
          <w:b/>
          <w:bCs/>
          <w:sz w:val="24"/>
          <w:szCs w:val="24"/>
          <w:highlight w:val="none"/>
        </w:rPr>
      </w:pPr>
      <w:r>
        <w:rPr>
          <w:rFonts w:hint="eastAsia" w:ascii="宋体" w:hAnsi="宋体" w:eastAsia="宋体" w:cs="宋体"/>
          <w:highlight w:val="none"/>
        </w:rPr>
        <w:br w:type="page"/>
      </w:r>
      <w:r>
        <w:rPr>
          <w:rFonts w:hint="eastAsia" w:ascii="宋体" w:hAnsi="宋体" w:eastAsia="宋体" w:cs="宋体"/>
          <w:b/>
          <w:bCs/>
          <w:sz w:val="24"/>
          <w:szCs w:val="24"/>
          <w:highlight w:val="none"/>
        </w:rPr>
        <w:t>资信及商务评审打分资料一览表；</w:t>
      </w:r>
    </w:p>
    <w:tbl>
      <w:tblPr>
        <w:tblStyle w:val="33"/>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536" w:type="dxa"/>
            <w:tcBorders>
              <w:top w:val="single" w:color="auto" w:sz="4" w:space="0"/>
              <w:left w:val="nil"/>
              <w:bottom w:val="single" w:color="auto" w:sz="4" w:space="0"/>
              <w:right w:val="single" w:color="auto" w:sz="4" w:space="0"/>
            </w:tcBorders>
            <w:vAlign w:val="center"/>
          </w:tcPr>
          <w:p w14:paraId="5026995C">
            <w:pPr>
              <w:pStyle w:val="157"/>
              <w:adjustRightInd w:val="0"/>
              <w:snapToGrid w:val="0"/>
              <w:spacing w:line="420" w:lineRule="exact"/>
              <w:ind w:left="185" w:right="241" w:rightChars="115" w:hanging="184" w:hangingChars="77"/>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eastAsia="宋体" w:cs="宋体"/>
                <w:sz w:val="24"/>
                <w:szCs w:val="24"/>
                <w:highlight w:val="none"/>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eastAsia="宋体" w:cs="宋体"/>
                <w:sz w:val="24"/>
                <w:szCs w:val="24"/>
                <w:highlight w:val="none"/>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eastAsia="宋体" w:cs="宋体"/>
                <w:sz w:val="24"/>
                <w:szCs w:val="24"/>
                <w:highlight w:val="none"/>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eastAsia="宋体" w:cs="宋体"/>
                <w:sz w:val="24"/>
                <w:szCs w:val="24"/>
                <w:highlight w:val="none"/>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eastAsia="宋体" w:cs="宋体"/>
                <w:sz w:val="24"/>
                <w:szCs w:val="24"/>
                <w:highlight w:val="none"/>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eastAsia="宋体" w:cs="宋体"/>
                <w:sz w:val="24"/>
                <w:szCs w:val="24"/>
                <w:highlight w:val="none"/>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eastAsia="宋体" w:cs="宋体"/>
                <w:sz w:val="24"/>
                <w:szCs w:val="24"/>
                <w:highlight w:val="none"/>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536" w:type="dxa"/>
            <w:tcBorders>
              <w:top w:val="single" w:color="auto" w:sz="4" w:space="0"/>
              <w:left w:val="nil"/>
              <w:bottom w:val="single" w:color="auto" w:sz="4" w:space="0"/>
              <w:right w:val="single" w:color="auto" w:sz="4" w:space="0"/>
            </w:tcBorders>
            <w:vAlign w:val="center"/>
          </w:tcPr>
          <w:p w14:paraId="6F70EA22">
            <w:pPr>
              <w:pStyle w:val="157"/>
              <w:adjustRightInd w:val="0"/>
              <w:snapToGrid w:val="0"/>
              <w:spacing w:line="420" w:lineRule="exact"/>
              <w:ind w:right="241" w:rightChars="115" w:firstLine="0" w:firstLineChars="0"/>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eastAsia="宋体" w:cs="宋体"/>
                <w:sz w:val="24"/>
                <w:szCs w:val="24"/>
                <w:highlight w:val="none"/>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eastAsia="宋体" w:cs="宋体"/>
                <w:sz w:val="24"/>
                <w:szCs w:val="24"/>
                <w:highlight w:val="none"/>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eastAsia="宋体" w:cs="宋体"/>
                <w:sz w:val="24"/>
                <w:szCs w:val="24"/>
                <w:highlight w:val="none"/>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eastAsia="宋体" w:cs="宋体"/>
                <w:sz w:val="24"/>
                <w:szCs w:val="24"/>
                <w:highlight w:val="none"/>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eastAsia="宋体" w:cs="宋体"/>
                <w:sz w:val="24"/>
                <w:szCs w:val="24"/>
                <w:highlight w:val="none"/>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eastAsia="宋体" w:cs="宋体"/>
                <w:sz w:val="24"/>
                <w:szCs w:val="24"/>
                <w:highlight w:val="none"/>
              </w:rPr>
            </w:pPr>
          </w:p>
        </w:tc>
      </w:tr>
    </w:tbl>
    <w:p w14:paraId="1042E9D3">
      <w:pPr>
        <w:adjustRightInd w:val="0"/>
        <w:snapToGrid w:val="0"/>
        <w:spacing w:line="340" w:lineRule="exact"/>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注：结合评审办法中的“商务及资信部分”要求自行填写，后附证明材料。 </w:t>
      </w:r>
    </w:p>
    <w:p w14:paraId="7210F5B4">
      <w:pPr>
        <w:spacing w:line="420" w:lineRule="exact"/>
        <w:textAlignment w:val="baseline"/>
        <w:rPr>
          <w:rFonts w:hint="eastAsia" w:ascii="宋体" w:hAnsi="宋体" w:eastAsia="宋体" w:cs="宋体"/>
          <w:sz w:val="24"/>
          <w:szCs w:val="24"/>
          <w:highlight w:val="none"/>
        </w:rPr>
      </w:pPr>
    </w:p>
    <w:p w14:paraId="0FAEE11F">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2FF16F0">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法定代表人或其授权的代理人：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F1FC343">
      <w:pPr>
        <w:spacing w:line="420" w:lineRule="exact"/>
        <w:textAlignment w:val="baseline"/>
        <w:rPr>
          <w:rFonts w:hint="eastAsia" w:ascii="宋体" w:hAnsi="宋体" w:eastAsia="宋体" w:cs="宋体"/>
          <w:sz w:val="24"/>
          <w:szCs w:val="24"/>
          <w:highlight w:val="none"/>
        </w:rPr>
      </w:pPr>
    </w:p>
    <w:p w14:paraId="1092C586">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69B05389">
      <w:pPr>
        <w:pStyle w:val="24"/>
        <w:rPr>
          <w:rFonts w:hint="eastAsia" w:ascii="宋体" w:hAnsi="宋体" w:eastAsia="宋体" w:cs="宋体"/>
          <w:highlight w:val="none"/>
        </w:rPr>
      </w:pPr>
    </w:p>
    <w:p w14:paraId="2C818EE7">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1B5B23E5">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cs="宋体"/>
          <w:b/>
          <w:bCs/>
          <w:sz w:val="24"/>
          <w:szCs w:val="24"/>
          <w:highlight w:val="none"/>
          <w:lang w:val="en-US" w:eastAsia="zh-CN"/>
        </w:rPr>
        <w:t>资信情况</w:t>
      </w:r>
      <w:r>
        <w:rPr>
          <w:rFonts w:hint="eastAsia" w:ascii="宋体" w:hAnsi="宋体" w:eastAsia="宋体" w:cs="宋体"/>
          <w:b/>
          <w:bCs/>
          <w:sz w:val="24"/>
          <w:szCs w:val="24"/>
          <w:highlight w:val="none"/>
        </w:rPr>
        <w:t>；</w:t>
      </w:r>
    </w:p>
    <w:p w14:paraId="7943A9CA">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5、类似业绩；</w:t>
      </w:r>
    </w:p>
    <w:p w14:paraId="606875CD">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r>
        <w:rPr>
          <w:rFonts w:hint="eastAsia" w:ascii="宋体" w:cs="宋体"/>
          <w:b/>
          <w:bCs/>
          <w:sz w:val="24"/>
          <w:szCs w:val="24"/>
          <w:highlight w:val="none"/>
          <w:lang w:val="en-US" w:eastAsia="zh-CN"/>
        </w:rPr>
        <w:t>管理和实施方案</w:t>
      </w:r>
      <w:r>
        <w:rPr>
          <w:rFonts w:hint="eastAsia" w:ascii="宋体" w:hAnsi="宋体" w:eastAsia="宋体" w:cs="宋体"/>
          <w:b/>
          <w:bCs/>
          <w:sz w:val="24"/>
          <w:szCs w:val="24"/>
          <w:highlight w:val="none"/>
        </w:rPr>
        <w:t>；</w:t>
      </w:r>
    </w:p>
    <w:p w14:paraId="46B62220">
      <w:pPr>
        <w:pStyle w:val="31"/>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7、专业设施</w:t>
      </w:r>
      <w:r>
        <w:rPr>
          <w:rFonts w:hint="eastAsia" w:ascii="宋体" w:cs="宋体"/>
          <w:b/>
          <w:bCs/>
          <w:sz w:val="24"/>
          <w:szCs w:val="24"/>
          <w:highlight w:val="none"/>
          <w:lang w:val="en-US" w:eastAsia="zh-CN"/>
        </w:rPr>
        <w:t>和人员配备</w:t>
      </w:r>
      <w:r>
        <w:rPr>
          <w:rFonts w:hint="eastAsia" w:ascii="宋体" w:hAnsi="宋体" w:eastAsia="宋体" w:cs="宋体"/>
          <w:b/>
          <w:bCs/>
          <w:sz w:val="24"/>
          <w:szCs w:val="24"/>
          <w:highlight w:val="none"/>
          <w:lang w:val="en-US" w:eastAsia="zh-CN"/>
        </w:rPr>
        <w:t>；</w:t>
      </w:r>
    </w:p>
    <w:p w14:paraId="3335191B">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cs="宋体"/>
          <w:b/>
          <w:bCs/>
          <w:sz w:val="24"/>
          <w:szCs w:val="24"/>
          <w:highlight w:val="none"/>
          <w:lang w:val="en-US" w:eastAsia="zh-CN"/>
        </w:rPr>
        <w:t>资质和经验</w:t>
      </w:r>
      <w:r>
        <w:rPr>
          <w:rFonts w:hint="eastAsia" w:ascii="宋体" w:hAnsi="宋体" w:eastAsia="宋体" w:cs="宋体"/>
          <w:b/>
          <w:bCs/>
          <w:sz w:val="24"/>
          <w:szCs w:val="24"/>
          <w:highlight w:val="none"/>
        </w:rPr>
        <w:t>；</w:t>
      </w:r>
    </w:p>
    <w:p w14:paraId="2FA433D1">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w:t>
      </w:r>
      <w:r>
        <w:rPr>
          <w:rFonts w:hint="eastAsia" w:ascii="宋体" w:cs="宋体"/>
          <w:b/>
          <w:bCs/>
          <w:sz w:val="24"/>
          <w:szCs w:val="24"/>
          <w:highlight w:val="none"/>
          <w:lang w:val="en-US" w:eastAsia="zh-CN"/>
        </w:rPr>
        <w:t>响应机制</w:t>
      </w:r>
      <w:r>
        <w:rPr>
          <w:rFonts w:hint="eastAsia" w:ascii="宋体" w:hAnsi="宋体" w:eastAsia="宋体" w:cs="宋体"/>
          <w:b/>
          <w:bCs/>
          <w:sz w:val="24"/>
          <w:szCs w:val="24"/>
          <w:highlight w:val="none"/>
        </w:rPr>
        <w:t>；</w:t>
      </w:r>
    </w:p>
    <w:p w14:paraId="2D612485">
      <w:pPr>
        <w:pStyle w:val="31"/>
        <w:ind w:left="424" w:leftChars="202"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w:t>
      </w:r>
      <w:r>
        <w:rPr>
          <w:rFonts w:hint="eastAsia" w:ascii="宋体" w:cs="宋体"/>
          <w:b/>
          <w:bCs/>
          <w:sz w:val="24"/>
          <w:szCs w:val="24"/>
          <w:highlight w:val="none"/>
          <w:lang w:val="en-US" w:eastAsia="zh-CN"/>
        </w:rPr>
        <w:t>优惠措施</w:t>
      </w:r>
      <w:r>
        <w:rPr>
          <w:rFonts w:hint="eastAsia" w:ascii="宋体" w:hAnsi="宋体" w:eastAsia="宋体" w:cs="宋体"/>
          <w:b/>
          <w:bCs/>
          <w:sz w:val="24"/>
          <w:szCs w:val="24"/>
          <w:highlight w:val="none"/>
          <w:lang w:eastAsia="zh-CN"/>
        </w:rPr>
        <w:t>。</w:t>
      </w:r>
    </w:p>
    <w:p w14:paraId="160A7BB2">
      <w:pPr>
        <w:widowControl/>
        <w:jc w:val="left"/>
        <w:rPr>
          <w:rFonts w:hint="eastAsia" w:ascii="宋体" w:hAnsi="宋体" w:eastAsia="宋体" w:cs="宋体"/>
          <w:sz w:val="18"/>
          <w:szCs w:val="18"/>
          <w:highlight w:val="none"/>
        </w:rPr>
      </w:pPr>
      <w:r>
        <w:rPr>
          <w:rFonts w:hint="eastAsia" w:ascii="宋体" w:hAnsi="宋体" w:eastAsia="宋体" w:cs="宋体"/>
          <w:highlight w:val="none"/>
        </w:rPr>
        <w:br w:type="page"/>
      </w:r>
    </w:p>
    <w:p w14:paraId="2B381385">
      <w:pPr>
        <w:widowControl/>
        <w:jc w:val="left"/>
        <w:rPr>
          <w:rFonts w:hint="eastAsia" w:ascii="宋体" w:hAnsi="宋体" w:eastAsia="宋体" w:cs="宋体"/>
          <w:sz w:val="18"/>
          <w:szCs w:val="18"/>
          <w:highlight w:val="none"/>
        </w:rPr>
      </w:pPr>
    </w:p>
    <w:p w14:paraId="2151A43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val="en-US" w:eastAsia="zh-CN"/>
        </w:rPr>
        <w:t>1</w:t>
      </w:r>
      <w:r>
        <w:rPr>
          <w:rFonts w:hint="eastAsia" w:ascii="宋体" w:hAnsi="宋体" w:eastAsia="宋体" w:cs="宋体"/>
          <w:b/>
          <w:bCs/>
          <w:highlight w:val="none"/>
        </w:rPr>
        <w:t>、声明函</w:t>
      </w:r>
    </w:p>
    <w:p w14:paraId="5414FE23">
      <w:pPr>
        <w:pStyle w:val="17"/>
        <w:adjustRightInd w:val="0"/>
        <w:snapToGrid w:val="0"/>
        <w:spacing w:line="30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与其他供应商/供应商无利害关系的声明函</w:t>
      </w:r>
    </w:p>
    <w:p w14:paraId="446654BD">
      <w:pPr>
        <w:snapToGrid w:val="0"/>
        <w:spacing w:line="360" w:lineRule="auto"/>
        <w:rPr>
          <w:rFonts w:hint="eastAsia" w:ascii="宋体" w:hAnsi="宋体" w:eastAsia="宋体" w:cs="宋体"/>
          <w:sz w:val="24"/>
          <w:szCs w:val="24"/>
          <w:highlight w:val="none"/>
          <w:u w:val="single"/>
        </w:rPr>
      </w:pPr>
    </w:p>
    <w:p w14:paraId="24CDB03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致：浙江省人民医院</w:t>
      </w:r>
      <w:r>
        <w:rPr>
          <w:rFonts w:hint="eastAsia" w:ascii="宋体" w:hAnsi="宋体" w:eastAsia="宋体" w:cs="宋体"/>
          <w:sz w:val="24"/>
          <w:szCs w:val="24"/>
          <w:highlight w:val="none"/>
          <w:u w:val="single"/>
          <w:lang w:val="en-US" w:eastAsia="zh-CN"/>
        </w:rPr>
        <w:t>富阳院区</w:t>
      </w:r>
      <w:r>
        <w:rPr>
          <w:rFonts w:hint="eastAsia" w:ascii="宋体" w:hAnsi="宋体" w:eastAsia="宋体" w:cs="宋体"/>
          <w:b w:val="0"/>
          <w:bCs/>
          <w:sz w:val="24"/>
          <w:highlight w:val="none"/>
          <w:lang w:val="en-US" w:eastAsia="zh-CN"/>
        </w:rPr>
        <w:t>（杭州市富阳区第一人民医院）</w:t>
      </w:r>
      <w:r>
        <w:rPr>
          <w:rFonts w:hint="eastAsia" w:ascii="宋体" w:hAnsi="宋体" w:eastAsia="宋体" w:cs="宋体"/>
          <w:sz w:val="24"/>
          <w:szCs w:val="24"/>
          <w:highlight w:val="none"/>
          <w:u w:val="single"/>
        </w:rPr>
        <w:t>：</w:t>
      </w:r>
    </w:p>
    <w:p w14:paraId="01ED70B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（供应商/供应商）</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）（项目编号）投标/采购活动，与其他供应商/供应商不存在法定代表人为同一人或存在直接控股、管理关系。</w:t>
      </w:r>
    </w:p>
    <w:p w14:paraId="0D08F9D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我方对上述声明的真实性负责。如有虚假，愿意承担相应责任，对此无任何异议。</w:t>
      </w:r>
    </w:p>
    <w:p w14:paraId="2C646D4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3C1A0B8">
      <w:pPr>
        <w:snapToGrid w:val="0"/>
        <w:spacing w:line="360" w:lineRule="auto"/>
        <w:rPr>
          <w:rFonts w:hint="eastAsia" w:ascii="宋体" w:hAnsi="宋体" w:eastAsia="宋体" w:cs="宋体"/>
          <w:sz w:val="24"/>
          <w:szCs w:val="24"/>
          <w:highlight w:val="none"/>
        </w:rPr>
      </w:pPr>
    </w:p>
    <w:p w14:paraId="563F6C33">
      <w:pPr>
        <w:snapToGrid w:val="0"/>
        <w:spacing w:line="360" w:lineRule="auto"/>
        <w:rPr>
          <w:rFonts w:hint="eastAsia" w:ascii="宋体" w:hAnsi="宋体" w:eastAsia="宋体" w:cs="宋体"/>
          <w:sz w:val="24"/>
          <w:szCs w:val="24"/>
          <w:highlight w:val="none"/>
        </w:rPr>
      </w:pPr>
    </w:p>
    <w:p w14:paraId="5A26CF4F">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供应商/供应商全称（盖单位公章）：</w:t>
      </w:r>
    </w:p>
    <w:p w14:paraId="1DEBE5B7">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响应文件签署人（签字或盖章）：</w:t>
      </w:r>
    </w:p>
    <w:p w14:paraId="7DD8530D">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6EF7150D">
      <w:pPr>
        <w:rPr>
          <w:rFonts w:hint="eastAsia" w:ascii="宋体" w:hAnsi="宋体" w:eastAsia="宋体" w:cs="宋体"/>
          <w:highlight w:val="none"/>
        </w:rPr>
      </w:pPr>
    </w:p>
    <w:p w14:paraId="17EF9354">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5CF3BDE1">
      <w:pP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1</w:t>
      </w:r>
      <w:r>
        <w:rPr>
          <w:rFonts w:hint="eastAsia" w:ascii="宋体" w:hAnsi="宋体" w:eastAsia="宋体" w:cs="宋体"/>
          <w:b/>
          <w:bCs/>
          <w:sz w:val="24"/>
          <w:szCs w:val="22"/>
          <w:highlight w:val="none"/>
          <w:lang w:val="en-US" w:eastAsia="zh-CN"/>
        </w:rPr>
        <w:t>2</w:t>
      </w:r>
      <w:r>
        <w:rPr>
          <w:rFonts w:hint="eastAsia" w:ascii="宋体" w:hAnsi="宋体" w:eastAsia="宋体" w:cs="宋体"/>
          <w:b/>
          <w:bCs/>
          <w:sz w:val="24"/>
          <w:szCs w:val="22"/>
          <w:highlight w:val="none"/>
        </w:rPr>
        <w:t>、供应商提供的其他资料</w:t>
      </w:r>
    </w:p>
    <w:p w14:paraId="0DC83BB4">
      <w:pPr>
        <w:rPr>
          <w:rFonts w:hint="eastAsia" w:ascii="宋体" w:hAnsi="宋体" w:eastAsia="宋体" w:cs="宋体"/>
          <w:highlight w:val="none"/>
        </w:rPr>
      </w:pPr>
    </w:p>
    <w:p w14:paraId="55A72F7F">
      <w:pPr>
        <w:rPr>
          <w:rFonts w:hint="eastAsia" w:ascii="宋体" w:hAnsi="宋体" w:eastAsia="宋体" w:cs="宋体"/>
          <w:highlight w:val="none"/>
        </w:rPr>
      </w:pPr>
    </w:p>
    <w:p w14:paraId="5A987161">
      <w:pPr>
        <w:autoSpaceDE w:val="0"/>
        <w:autoSpaceDN w:val="0"/>
        <w:adjustRightInd w:val="0"/>
        <w:snapToGrid w:val="0"/>
        <w:spacing w:line="360" w:lineRule="auto"/>
        <w:ind w:firstLine="420" w:firstLineChars="200"/>
        <w:textAlignment w:val="bottom"/>
        <w:rPr>
          <w:rFonts w:hint="eastAsia" w:ascii="宋体" w:hAnsi="宋体" w:eastAsia="宋体" w:cs="宋体"/>
          <w:highlight w:val="none"/>
        </w:rPr>
      </w:pPr>
    </w:p>
    <w:sectPr>
      <w:headerReference r:id="rId8" w:type="default"/>
      <w:footerReference r:id="rId9" w:type="default"/>
      <w:footerReference r:id="rId10"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21"/>
      <w:rPr>
        <w:rStyle w:val="3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21"/>
      <w:framePr w:wrap="around" w:vAnchor="text" w:hAnchor="margin" w:xAlign="center" w:y="1"/>
      <w:rPr>
        <w:rStyle w:val="38"/>
      </w:rPr>
    </w:pPr>
    <w:r>
      <w:fldChar w:fldCharType="begin"/>
    </w:r>
    <w:r>
      <w:rPr>
        <w:rStyle w:val="38"/>
      </w:rPr>
      <w:instrText xml:space="preserve">PAGE  </w:instrText>
    </w:r>
    <w:r>
      <w:fldChar w:fldCharType="end"/>
    </w:r>
  </w:p>
  <w:p w14:paraId="055EE6A7">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2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21"/>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2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21"/>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21"/>
      <w:framePr w:wrap="around" w:vAnchor="text" w:hAnchor="margin" w:xAlign="center" w:y="1"/>
      <w:rPr>
        <w:rStyle w:val="38"/>
      </w:rPr>
    </w:pPr>
    <w:r>
      <w:fldChar w:fldCharType="begin"/>
    </w:r>
    <w:r>
      <w:rPr>
        <w:rStyle w:val="38"/>
      </w:rPr>
      <w:instrText xml:space="preserve">PAGE  </w:instrText>
    </w:r>
    <w:r>
      <w:fldChar w:fldCharType="end"/>
    </w:r>
  </w:p>
  <w:p w14:paraId="798D8BFA">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2"/>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301"/>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0BB3"/>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1EC20FB"/>
    <w:rsid w:val="02441F1E"/>
    <w:rsid w:val="02A3150C"/>
    <w:rsid w:val="02C33F61"/>
    <w:rsid w:val="02C941D1"/>
    <w:rsid w:val="02F70AAC"/>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AD6201"/>
    <w:rsid w:val="08B25D37"/>
    <w:rsid w:val="08F71E5D"/>
    <w:rsid w:val="0904681F"/>
    <w:rsid w:val="099224C2"/>
    <w:rsid w:val="0A931C4A"/>
    <w:rsid w:val="0B2473D6"/>
    <w:rsid w:val="0BC86219"/>
    <w:rsid w:val="0C2E6932"/>
    <w:rsid w:val="0C4204E5"/>
    <w:rsid w:val="0D20764D"/>
    <w:rsid w:val="0D6E3A97"/>
    <w:rsid w:val="0D8D05A5"/>
    <w:rsid w:val="0D933D59"/>
    <w:rsid w:val="0DA130B6"/>
    <w:rsid w:val="0DE44888"/>
    <w:rsid w:val="0E0A1667"/>
    <w:rsid w:val="0E6010CF"/>
    <w:rsid w:val="0E89358B"/>
    <w:rsid w:val="0EC817E1"/>
    <w:rsid w:val="0F0F739C"/>
    <w:rsid w:val="0F611659"/>
    <w:rsid w:val="0F995703"/>
    <w:rsid w:val="0FCA6DEB"/>
    <w:rsid w:val="100D7DF3"/>
    <w:rsid w:val="10655CF3"/>
    <w:rsid w:val="106E3E49"/>
    <w:rsid w:val="10E700BF"/>
    <w:rsid w:val="11D70154"/>
    <w:rsid w:val="1203481A"/>
    <w:rsid w:val="12160F3D"/>
    <w:rsid w:val="124F3295"/>
    <w:rsid w:val="126307C1"/>
    <w:rsid w:val="12814FA1"/>
    <w:rsid w:val="12942E23"/>
    <w:rsid w:val="13165211"/>
    <w:rsid w:val="149C34F4"/>
    <w:rsid w:val="14C66E85"/>
    <w:rsid w:val="14E804E4"/>
    <w:rsid w:val="14F2396C"/>
    <w:rsid w:val="15E00CF9"/>
    <w:rsid w:val="169733C3"/>
    <w:rsid w:val="16A17D2C"/>
    <w:rsid w:val="17097A94"/>
    <w:rsid w:val="179B5CE4"/>
    <w:rsid w:val="17BD0179"/>
    <w:rsid w:val="17F32EFF"/>
    <w:rsid w:val="18A95CD8"/>
    <w:rsid w:val="18E92A1D"/>
    <w:rsid w:val="192926FE"/>
    <w:rsid w:val="19650358"/>
    <w:rsid w:val="19BC01A3"/>
    <w:rsid w:val="19CC0BF8"/>
    <w:rsid w:val="1A9C7638"/>
    <w:rsid w:val="1C656C23"/>
    <w:rsid w:val="1CE0094F"/>
    <w:rsid w:val="1D341D63"/>
    <w:rsid w:val="1D9C79B2"/>
    <w:rsid w:val="1E4A4F93"/>
    <w:rsid w:val="1E846C1E"/>
    <w:rsid w:val="1EE559BD"/>
    <w:rsid w:val="1FB06AC5"/>
    <w:rsid w:val="202B3AD6"/>
    <w:rsid w:val="20C71BDB"/>
    <w:rsid w:val="20D81670"/>
    <w:rsid w:val="20FB700A"/>
    <w:rsid w:val="21096ED2"/>
    <w:rsid w:val="21704E18"/>
    <w:rsid w:val="21BD09EA"/>
    <w:rsid w:val="23395957"/>
    <w:rsid w:val="246C0972"/>
    <w:rsid w:val="248064B3"/>
    <w:rsid w:val="249E2CA0"/>
    <w:rsid w:val="252637D8"/>
    <w:rsid w:val="254C5563"/>
    <w:rsid w:val="257A597A"/>
    <w:rsid w:val="25B85387"/>
    <w:rsid w:val="269F2BB8"/>
    <w:rsid w:val="27056576"/>
    <w:rsid w:val="270A5318"/>
    <w:rsid w:val="272A5083"/>
    <w:rsid w:val="272E0D8A"/>
    <w:rsid w:val="27355263"/>
    <w:rsid w:val="27745B2F"/>
    <w:rsid w:val="27C24AC7"/>
    <w:rsid w:val="28B641E7"/>
    <w:rsid w:val="28D10507"/>
    <w:rsid w:val="29086F52"/>
    <w:rsid w:val="299F2D1F"/>
    <w:rsid w:val="29E14AC1"/>
    <w:rsid w:val="29EB1155"/>
    <w:rsid w:val="2A1B4B34"/>
    <w:rsid w:val="2A8B5D65"/>
    <w:rsid w:val="2AA0764D"/>
    <w:rsid w:val="2ACF7D27"/>
    <w:rsid w:val="2B1C13B5"/>
    <w:rsid w:val="2C08790F"/>
    <w:rsid w:val="2CAB6572"/>
    <w:rsid w:val="2CDE209F"/>
    <w:rsid w:val="2D17784C"/>
    <w:rsid w:val="2D32663F"/>
    <w:rsid w:val="2DC51887"/>
    <w:rsid w:val="2F0033F9"/>
    <w:rsid w:val="2F463587"/>
    <w:rsid w:val="2F8D4468"/>
    <w:rsid w:val="2FB34C91"/>
    <w:rsid w:val="30240B3A"/>
    <w:rsid w:val="306B115D"/>
    <w:rsid w:val="30CD568D"/>
    <w:rsid w:val="30DB3667"/>
    <w:rsid w:val="31350C4C"/>
    <w:rsid w:val="31487277"/>
    <w:rsid w:val="3192385D"/>
    <w:rsid w:val="31981EC4"/>
    <w:rsid w:val="32AC4E0B"/>
    <w:rsid w:val="33416944"/>
    <w:rsid w:val="34AA7FA1"/>
    <w:rsid w:val="35281E46"/>
    <w:rsid w:val="35985DC5"/>
    <w:rsid w:val="369267FA"/>
    <w:rsid w:val="36CF347B"/>
    <w:rsid w:val="36DF19C3"/>
    <w:rsid w:val="37843695"/>
    <w:rsid w:val="38774730"/>
    <w:rsid w:val="38AC7189"/>
    <w:rsid w:val="38C27DC4"/>
    <w:rsid w:val="3A8F51E8"/>
    <w:rsid w:val="3A9C052D"/>
    <w:rsid w:val="3BC5739B"/>
    <w:rsid w:val="3BC7095A"/>
    <w:rsid w:val="3CCD435D"/>
    <w:rsid w:val="3DE06960"/>
    <w:rsid w:val="3DEC5F8A"/>
    <w:rsid w:val="3E995C74"/>
    <w:rsid w:val="3ED656D0"/>
    <w:rsid w:val="3F2405CA"/>
    <w:rsid w:val="40573012"/>
    <w:rsid w:val="405930EC"/>
    <w:rsid w:val="408557F9"/>
    <w:rsid w:val="40DB4E75"/>
    <w:rsid w:val="40E61AB1"/>
    <w:rsid w:val="41D50910"/>
    <w:rsid w:val="42CF43AB"/>
    <w:rsid w:val="433E3844"/>
    <w:rsid w:val="43741014"/>
    <w:rsid w:val="4376003C"/>
    <w:rsid w:val="443F7874"/>
    <w:rsid w:val="45426912"/>
    <w:rsid w:val="455F1DCC"/>
    <w:rsid w:val="45670346"/>
    <w:rsid w:val="45C92BAC"/>
    <w:rsid w:val="462331D3"/>
    <w:rsid w:val="47337546"/>
    <w:rsid w:val="4781006E"/>
    <w:rsid w:val="478E5BF3"/>
    <w:rsid w:val="47993F84"/>
    <w:rsid w:val="47AA594C"/>
    <w:rsid w:val="47D01EDF"/>
    <w:rsid w:val="47E56601"/>
    <w:rsid w:val="47FD08B5"/>
    <w:rsid w:val="481B656B"/>
    <w:rsid w:val="482C6963"/>
    <w:rsid w:val="48A24875"/>
    <w:rsid w:val="48C67A99"/>
    <w:rsid w:val="48DF77FA"/>
    <w:rsid w:val="4961356F"/>
    <w:rsid w:val="4A551624"/>
    <w:rsid w:val="4A760968"/>
    <w:rsid w:val="4B486E3E"/>
    <w:rsid w:val="4B51061C"/>
    <w:rsid w:val="4B6169AE"/>
    <w:rsid w:val="4B69143A"/>
    <w:rsid w:val="4C5414AB"/>
    <w:rsid w:val="4D0258E3"/>
    <w:rsid w:val="4D3E5D38"/>
    <w:rsid w:val="4D4B69B8"/>
    <w:rsid w:val="4D7160D6"/>
    <w:rsid w:val="4DA954F8"/>
    <w:rsid w:val="4DB33889"/>
    <w:rsid w:val="4DCC232E"/>
    <w:rsid w:val="4E4023B3"/>
    <w:rsid w:val="4ED55C4C"/>
    <w:rsid w:val="4FE52FC3"/>
    <w:rsid w:val="5060696B"/>
    <w:rsid w:val="515A37B0"/>
    <w:rsid w:val="51A537C1"/>
    <w:rsid w:val="52125032"/>
    <w:rsid w:val="52825FAC"/>
    <w:rsid w:val="52BF2FD2"/>
    <w:rsid w:val="53F01145"/>
    <w:rsid w:val="54DE17A5"/>
    <w:rsid w:val="552532C3"/>
    <w:rsid w:val="568B2843"/>
    <w:rsid w:val="56A3023E"/>
    <w:rsid w:val="573E3DB0"/>
    <w:rsid w:val="582A2AD1"/>
    <w:rsid w:val="583D1E4D"/>
    <w:rsid w:val="58480007"/>
    <w:rsid w:val="5863030F"/>
    <w:rsid w:val="59CF1242"/>
    <w:rsid w:val="5AE73B16"/>
    <w:rsid w:val="5B2122DC"/>
    <w:rsid w:val="5B845F6E"/>
    <w:rsid w:val="5BA7046C"/>
    <w:rsid w:val="5C051E79"/>
    <w:rsid w:val="5C2F7D76"/>
    <w:rsid w:val="5C3E7FB9"/>
    <w:rsid w:val="5C48577C"/>
    <w:rsid w:val="5CA72F21"/>
    <w:rsid w:val="5D230C5E"/>
    <w:rsid w:val="5D4265C8"/>
    <w:rsid w:val="5DE23965"/>
    <w:rsid w:val="5DF04B2E"/>
    <w:rsid w:val="5E0F2877"/>
    <w:rsid w:val="5E4D268D"/>
    <w:rsid w:val="5E4F07F4"/>
    <w:rsid w:val="5E75045B"/>
    <w:rsid w:val="5EC17BB2"/>
    <w:rsid w:val="5EDA6F6D"/>
    <w:rsid w:val="5EEB267A"/>
    <w:rsid w:val="601C2B39"/>
    <w:rsid w:val="60793981"/>
    <w:rsid w:val="60A125B7"/>
    <w:rsid w:val="60A461B6"/>
    <w:rsid w:val="60E12272"/>
    <w:rsid w:val="60E23AE9"/>
    <w:rsid w:val="60FB1701"/>
    <w:rsid w:val="61026ABD"/>
    <w:rsid w:val="61145496"/>
    <w:rsid w:val="61483B4B"/>
    <w:rsid w:val="614960E5"/>
    <w:rsid w:val="61601DEA"/>
    <w:rsid w:val="623A1223"/>
    <w:rsid w:val="6307442A"/>
    <w:rsid w:val="63E17D6C"/>
    <w:rsid w:val="640430BC"/>
    <w:rsid w:val="640C0830"/>
    <w:rsid w:val="644E4B1D"/>
    <w:rsid w:val="64F14763"/>
    <w:rsid w:val="65145EFE"/>
    <w:rsid w:val="65305D76"/>
    <w:rsid w:val="654E3675"/>
    <w:rsid w:val="66495BDD"/>
    <w:rsid w:val="667873C1"/>
    <w:rsid w:val="671309C0"/>
    <w:rsid w:val="67456D79"/>
    <w:rsid w:val="67BA5260"/>
    <w:rsid w:val="67BB6CA6"/>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F1659A"/>
    <w:rsid w:val="6D1B4B1E"/>
    <w:rsid w:val="6DB17ECF"/>
    <w:rsid w:val="6DDA3A5E"/>
    <w:rsid w:val="6DED1766"/>
    <w:rsid w:val="6DF46045"/>
    <w:rsid w:val="6E0F357D"/>
    <w:rsid w:val="6E1E62BB"/>
    <w:rsid w:val="6E5F5FF7"/>
    <w:rsid w:val="6E7634AD"/>
    <w:rsid w:val="6F4B2F52"/>
    <w:rsid w:val="6FCA1077"/>
    <w:rsid w:val="70411408"/>
    <w:rsid w:val="70455460"/>
    <w:rsid w:val="72565E22"/>
    <w:rsid w:val="735F2454"/>
    <w:rsid w:val="73A77042"/>
    <w:rsid w:val="73E50120"/>
    <w:rsid w:val="74C0081A"/>
    <w:rsid w:val="75137DDD"/>
    <w:rsid w:val="751500ED"/>
    <w:rsid w:val="756C780D"/>
    <w:rsid w:val="769E7DAB"/>
    <w:rsid w:val="76BA43CA"/>
    <w:rsid w:val="775E4966"/>
    <w:rsid w:val="77DD57DA"/>
    <w:rsid w:val="785173F2"/>
    <w:rsid w:val="78913A5E"/>
    <w:rsid w:val="78B51753"/>
    <w:rsid w:val="79352EE7"/>
    <w:rsid w:val="79733540"/>
    <w:rsid w:val="7986140A"/>
    <w:rsid w:val="79EB0973"/>
    <w:rsid w:val="7AD2469D"/>
    <w:rsid w:val="7BA62547"/>
    <w:rsid w:val="7BB22542"/>
    <w:rsid w:val="7C376D58"/>
    <w:rsid w:val="7C586356"/>
    <w:rsid w:val="7C957143"/>
    <w:rsid w:val="7D00550F"/>
    <w:rsid w:val="7D1D5C9D"/>
    <w:rsid w:val="7D5052A6"/>
    <w:rsid w:val="7DC75C09"/>
    <w:rsid w:val="7E745D91"/>
    <w:rsid w:val="7E765088"/>
    <w:rsid w:val="7E923D2B"/>
    <w:rsid w:val="7ED92472"/>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4">
    <w:name w:val="heading 1"/>
    <w:basedOn w:val="1"/>
    <w:next w:val="1"/>
    <w:link w:val="131"/>
    <w:autoRedefine/>
    <w:qFormat/>
    <w:uiPriority w:val="9"/>
    <w:pPr>
      <w:keepNext/>
      <w:keepLines/>
      <w:adjustRightInd w:val="0"/>
      <w:snapToGrid w:val="0"/>
      <w:spacing w:line="360" w:lineRule="auto"/>
      <w:jc w:val="center"/>
      <w:outlineLvl w:val="0"/>
    </w:pPr>
    <w:rPr>
      <w:b/>
      <w:kern w:val="44"/>
      <w:sz w:val="28"/>
      <w:szCs w:val="28"/>
    </w:rPr>
  </w:style>
  <w:style w:type="paragraph" w:styleId="5">
    <w:name w:val="heading 2"/>
    <w:basedOn w:val="1"/>
    <w:next w:val="1"/>
    <w:link w:val="132"/>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6">
    <w:name w:val="heading 3"/>
    <w:basedOn w:val="5"/>
    <w:next w:val="1"/>
    <w:link w:val="133"/>
    <w:autoRedefine/>
    <w:qFormat/>
    <w:uiPriority w:val="9"/>
    <w:pPr>
      <w:outlineLvl w:val="2"/>
    </w:pPr>
  </w:style>
  <w:style w:type="paragraph" w:styleId="7">
    <w:name w:val="heading 4"/>
    <w:basedOn w:val="1"/>
    <w:next w:val="8"/>
    <w:link w:val="134"/>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6">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8">
    <w:name w:val="Normal Indent"/>
    <w:basedOn w:val="1"/>
    <w:link w:val="44"/>
    <w:autoRedefine/>
    <w:qFormat/>
    <w:uiPriority w:val="0"/>
    <w:pPr>
      <w:ind w:firstLine="420"/>
    </w:pPr>
    <w:rPr>
      <w:snapToGrid/>
      <w:kern w:val="2"/>
    </w:rPr>
  </w:style>
  <w:style w:type="paragraph" w:styleId="10">
    <w:name w:val="Document Map"/>
    <w:basedOn w:val="1"/>
    <w:autoRedefine/>
    <w:qFormat/>
    <w:uiPriority w:val="0"/>
    <w:pPr>
      <w:shd w:val="clear" w:color="auto" w:fill="000080"/>
    </w:pPr>
  </w:style>
  <w:style w:type="paragraph" w:styleId="11">
    <w:name w:val="annotation text"/>
    <w:basedOn w:val="1"/>
    <w:link w:val="45"/>
    <w:autoRedefine/>
    <w:qFormat/>
    <w:uiPriority w:val="0"/>
    <w:pPr>
      <w:jc w:val="left"/>
    </w:pPr>
    <w:rPr>
      <w:snapToGrid/>
      <w:kern w:val="2"/>
    </w:rPr>
  </w:style>
  <w:style w:type="paragraph" w:styleId="12">
    <w:name w:val="Body Text 3"/>
    <w:basedOn w:val="1"/>
    <w:autoRedefine/>
    <w:qFormat/>
    <w:uiPriority w:val="0"/>
    <w:pPr>
      <w:spacing w:after="120" w:line="480" w:lineRule="exact"/>
    </w:pPr>
    <w:rPr>
      <w:snapToGrid/>
      <w:kern w:val="2"/>
      <w:sz w:val="16"/>
    </w:rPr>
  </w:style>
  <w:style w:type="paragraph" w:styleId="13">
    <w:name w:val="Body Text"/>
    <w:basedOn w:val="1"/>
    <w:link w:val="138"/>
    <w:autoRedefine/>
    <w:qFormat/>
    <w:uiPriority w:val="0"/>
    <w:pPr>
      <w:spacing w:after="120"/>
    </w:pPr>
  </w:style>
  <w:style w:type="paragraph" w:styleId="14">
    <w:name w:val="Body Text Indent"/>
    <w:basedOn w:val="1"/>
    <w:link w:val="152"/>
    <w:autoRedefine/>
    <w:qFormat/>
    <w:uiPriority w:val="0"/>
    <w:pPr>
      <w:adjustRightInd w:val="0"/>
      <w:spacing w:line="360" w:lineRule="auto"/>
      <w:ind w:firstLine="490"/>
      <w:jc w:val="left"/>
    </w:pPr>
    <w:rPr>
      <w:rFonts w:hint="eastAsia" w:ascii="宋体" w:hAnsi="宋体"/>
      <w:sz w:val="24"/>
    </w:rPr>
  </w:style>
  <w:style w:type="paragraph" w:styleId="15">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6">
    <w:name w:val="toc 3"/>
    <w:basedOn w:val="1"/>
    <w:next w:val="1"/>
    <w:autoRedefine/>
    <w:semiHidden/>
    <w:qFormat/>
    <w:uiPriority w:val="0"/>
    <w:pPr>
      <w:ind w:left="840" w:leftChars="400"/>
    </w:pPr>
  </w:style>
  <w:style w:type="paragraph" w:styleId="17">
    <w:name w:val="Plain Text"/>
    <w:basedOn w:val="1"/>
    <w:next w:val="18"/>
    <w:link w:val="43"/>
    <w:autoRedefine/>
    <w:qFormat/>
    <w:uiPriority w:val="99"/>
    <w:rPr>
      <w:rFonts w:ascii="宋体" w:hAnsi="Courier New"/>
      <w:snapToGrid/>
      <w:sz w:val="18"/>
    </w:rPr>
  </w:style>
  <w:style w:type="paragraph" w:styleId="18">
    <w:name w:val="Date"/>
    <w:basedOn w:val="1"/>
    <w:next w:val="1"/>
    <w:link w:val="150"/>
    <w:autoRedefine/>
    <w:qFormat/>
    <w:uiPriority w:val="0"/>
    <w:pPr>
      <w:ind w:left="2500" w:leftChars="2500"/>
    </w:pPr>
    <w:rPr>
      <w:rFonts w:hint="eastAsia" w:ascii="宋体" w:hAnsi="宋体"/>
      <w:snapToGrid/>
      <w:kern w:val="2"/>
      <w:sz w:val="24"/>
    </w:rPr>
  </w:style>
  <w:style w:type="paragraph" w:styleId="19">
    <w:name w:val="Body Text Indent 2"/>
    <w:basedOn w:val="1"/>
    <w:link w:val="129"/>
    <w:autoRedefine/>
    <w:qFormat/>
    <w:uiPriority w:val="0"/>
    <w:pPr>
      <w:spacing w:after="120" w:line="480" w:lineRule="auto"/>
      <w:ind w:left="420" w:leftChars="200"/>
    </w:pPr>
    <w:rPr>
      <w:snapToGrid/>
      <w:kern w:val="2"/>
    </w:rPr>
  </w:style>
  <w:style w:type="paragraph" w:styleId="20">
    <w:name w:val="Balloon Text"/>
    <w:basedOn w:val="1"/>
    <w:link w:val="136"/>
    <w:autoRedefine/>
    <w:qFormat/>
    <w:uiPriority w:val="99"/>
    <w:rPr>
      <w:sz w:val="18"/>
    </w:rPr>
  </w:style>
  <w:style w:type="paragraph" w:styleId="21">
    <w:name w:val="footer"/>
    <w:basedOn w:val="1"/>
    <w:link w:val="46"/>
    <w:autoRedefine/>
    <w:qFormat/>
    <w:uiPriority w:val="0"/>
    <w:pPr>
      <w:tabs>
        <w:tab w:val="center" w:pos="4153"/>
        <w:tab w:val="right" w:pos="8306"/>
      </w:tabs>
      <w:snapToGrid w:val="0"/>
      <w:jc w:val="left"/>
    </w:pPr>
    <w:rPr>
      <w:sz w:val="18"/>
    </w:rPr>
  </w:style>
  <w:style w:type="paragraph" w:styleId="22">
    <w:name w:val="header"/>
    <w:basedOn w:val="1"/>
    <w:link w:val="47"/>
    <w:autoRedefine/>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4">
    <w:name w:val="toc 6"/>
    <w:basedOn w:val="1"/>
    <w:next w:val="1"/>
    <w:autoRedefine/>
    <w:qFormat/>
    <w:uiPriority w:val="0"/>
    <w:pPr>
      <w:ind w:left="1050"/>
      <w:jc w:val="left"/>
    </w:pPr>
    <w:rPr>
      <w:sz w:val="18"/>
      <w:szCs w:val="18"/>
    </w:rPr>
  </w:style>
  <w:style w:type="paragraph" w:styleId="25">
    <w:name w:val="Body Text Indent 3"/>
    <w:basedOn w:val="1"/>
    <w:link w:val="130"/>
    <w:autoRedefine/>
    <w:qFormat/>
    <w:uiPriority w:val="0"/>
    <w:pPr>
      <w:spacing w:after="120"/>
      <w:ind w:left="420" w:leftChars="200"/>
    </w:pPr>
    <w:rPr>
      <w:sz w:val="16"/>
    </w:rPr>
  </w:style>
  <w:style w:type="paragraph" w:styleId="26">
    <w:name w:val="toc 2"/>
    <w:basedOn w:val="1"/>
    <w:next w:val="1"/>
    <w:autoRedefine/>
    <w:qFormat/>
    <w:uiPriority w:val="39"/>
    <w:pPr>
      <w:ind w:left="420" w:leftChars="200"/>
    </w:pPr>
  </w:style>
  <w:style w:type="paragraph" w:styleId="27">
    <w:name w:val="Body Text 2"/>
    <w:basedOn w:val="1"/>
    <w:link w:val="48"/>
    <w:autoRedefine/>
    <w:qFormat/>
    <w:uiPriority w:val="0"/>
    <w:pPr>
      <w:spacing w:line="120" w:lineRule="atLeast"/>
    </w:pPr>
    <w:rPr>
      <w:snapToGrid/>
      <w:kern w:val="2"/>
      <w:sz w:val="24"/>
    </w:rPr>
  </w:style>
  <w:style w:type="paragraph" w:styleId="28">
    <w:name w:val="Normal (Web)"/>
    <w:basedOn w:val="1"/>
    <w:link w:val="49"/>
    <w:autoRedefine/>
    <w:qFormat/>
    <w:uiPriority w:val="99"/>
    <w:pPr>
      <w:widowControl/>
      <w:spacing w:before="100" w:beforeAutospacing="1" w:after="100" w:afterAutospacing="1"/>
      <w:jc w:val="left"/>
    </w:pPr>
    <w:rPr>
      <w:rFonts w:ascii="宋体" w:hAnsi="宋体"/>
      <w:snapToGrid/>
      <w:sz w:val="24"/>
    </w:rPr>
  </w:style>
  <w:style w:type="paragraph" w:styleId="29">
    <w:name w:val="Title"/>
    <w:basedOn w:val="1"/>
    <w:next w:val="1"/>
    <w:link w:val="141"/>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30">
    <w:name w:val="annotation subject"/>
    <w:basedOn w:val="11"/>
    <w:next w:val="11"/>
    <w:link w:val="50"/>
    <w:autoRedefine/>
    <w:qFormat/>
    <w:uiPriority w:val="0"/>
    <w:rPr>
      <w:b/>
      <w:bCs/>
    </w:rPr>
  </w:style>
  <w:style w:type="paragraph" w:styleId="31">
    <w:name w:val="Body Text First Indent"/>
    <w:basedOn w:val="13"/>
    <w:link w:val="128"/>
    <w:autoRedefine/>
    <w:qFormat/>
    <w:uiPriority w:val="99"/>
    <w:pPr>
      <w:spacing w:line="360" w:lineRule="auto"/>
      <w:ind w:firstLine="420" w:firstLineChars="200"/>
    </w:pPr>
    <w:rPr>
      <w:rFonts w:hAnsi="宋体"/>
      <w:color w:val="000000"/>
      <w:szCs w:val="21"/>
    </w:rPr>
  </w:style>
  <w:style w:type="paragraph" w:styleId="32">
    <w:name w:val="Body Text First Indent 2"/>
    <w:basedOn w:val="14"/>
    <w:link w:val="153"/>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Elegant"/>
    <w:basedOn w:val="33"/>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7">
    <w:name w:val="Strong"/>
    <w:autoRedefine/>
    <w:qFormat/>
    <w:uiPriority w:val="22"/>
    <w:rPr>
      <w:b/>
    </w:rPr>
  </w:style>
  <w:style w:type="character" w:styleId="38">
    <w:name w:val="page number"/>
    <w:autoRedefine/>
    <w:qFormat/>
    <w:uiPriority w:val="99"/>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3">
    <w:name w:val="纯文本 字符"/>
    <w:link w:val="17"/>
    <w:autoRedefine/>
    <w:qFormat/>
    <w:uiPriority w:val="99"/>
    <w:rPr>
      <w:rFonts w:ascii="宋体" w:hAnsi="Courier New"/>
      <w:snapToGrid/>
      <w:sz w:val="18"/>
    </w:rPr>
  </w:style>
  <w:style w:type="character" w:customStyle="1" w:styleId="44">
    <w:name w:val="正文缩进 字符"/>
    <w:link w:val="8"/>
    <w:autoRedefine/>
    <w:qFormat/>
    <w:uiPriority w:val="0"/>
    <w:rPr>
      <w:rFonts w:eastAsia="宋体"/>
      <w:kern w:val="2"/>
      <w:sz w:val="21"/>
      <w:lang w:val="en-US" w:eastAsia="zh-CN"/>
    </w:rPr>
  </w:style>
  <w:style w:type="character" w:customStyle="1" w:styleId="45">
    <w:name w:val="批注文字 字符"/>
    <w:link w:val="11"/>
    <w:autoRedefine/>
    <w:qFormat/>
    <w:uiPriority w:val="0"/>
    <w:rPr>
      <w:kern w:val="2"/>
      <w:sz w:val="21"/>
    </w:rPr>
  </w:style>
  <w:style w:type="character" w:customStyle="1" w:styleId="46">
    <w:name w:val="页脚 字符"/>
    <w:link w:val="21"/>
    <w:autoRedefine/>
    <w:qFormat/>
    <w:uiPriority w:val="0"/>
    <w:rPr>
      <w:rFonts w:eastAsia="宋体"/>
      <w:snapToGrid w:val="0"/>
      <w:sz w:val="18"/>
      <w:lang w:val="en-US" w:eastAsia="zh-CN"/>
    </w:rPr>
  </w:style>
  <w:style w:type="character" w:customStyle="1" w:styleId="47">
    <w:name w:val="页眉 字符"/>
    <w:link w:val="22"/>
    <w:autoRedefine/>
    <w:qFormat/>
    <w:uiPriority w:val="0"/>
    <w:rPr>
      <w:rFonts w:eastAsia="宋体"/>
      <w:snapToGrid w:val="0"/>
      <w:sz w:val="18"/>
      <w:lang w:val="en-US" w:eastAsia="zh-CN"/>
    </w:rPr>
  </w:style>
  <w:style w:type="character" w:customStyle="1" w:styleId="48">
    <w:name w:val="正文文本 2 字符"/>
    <w:link w:val="27"/>
    <w:autoRedefine/>
    <w:qFormat/>
    <w:uiPriority w:val="0"/>
    <w:rPr>
      <w:rFonts w:eastAsia="宋体"/>
      <w:kern w:val="2"/>
      <w:sz w:val="24"/>
      <w:lang w:val="en-US" w:eastAsia="zh-CN"/>
    </w:rPr>
  </w:style>
  <w:style w:type="character" w:customStyle="1" w:styleId="49">
    <w:name w:val="普通(网站) 字符1"/>
    <w:link w:val="28"/>
    <w:autoRedefine/>
    <w:qFormat/>
    <w:uiPriority w:val="0"/>
    <w:rPr>
      <w:rFonts w:ascii="宋体" w:hAnsi="宋体" w:eastAsia="宋体"/>
      <w:sz w:val="24"/>
      <w:lang w:val="en-US" w:eastAsia="zh-CN" w:bidi="ar-SA"/>
    </w:rPr>
  </w:style>
  <w:style w:type="character" w:customStyle="1" w:styleId="50">
    <w:name w:val="批注主题 字符"/>
    <w:link w:val="30"/>
    <w:autoRedefine/>
    <w:qFormat/>
    <w:uiPriority w:val="0"/>
    <w:rPr>
      <w:b/>
      <w:bCs/>
      <w:snapToGrid/>
      <w:kern w:val="2"/>
      <w:sz w:val="21"/>
    </w:rPr>
  </w:style>
  <w:style w:type="character" w:customStyle="1" w:styleId="51">
    <w:name w:val="WW8Num19z0"/>
    <w:autoRedefine/>
    <w:qFormat/>
    <w:uiPriority w:val="0"/>
    <w:rPr>
      <w:rFonts w:ascii="Symbol" w:hAnsi="Symbol"/>
      <w:lang w:val="en-GB"/>
    </w:rPr>
  </w:style>
  <w:style w:type="character" w:customStyle="1" w:styleId="52">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3">
    <w:name w:val="样式1 Char Char"/>
    <w:link w:val="54"/>
    <w:autoRedefine/>
    <w:qFormat/>
    <w:uiPriority w:val="0"/>
    <w:rPr>
      <w:rFonts w:ascii="Arial" w:hAnsi="Arial" w:eastAsia="宋体"/>
      <w:kern w:val="2"/>
      <w:sz w:val="21"/>
      <w:szCs w:val="24"/>
      <w:lang w:val="en-US" w:eastAsia="zh-CN" w:bidi="ar-SA"/>
    </w:rPr>
  </w:style>
  <w:style w:type="paragraph" w:customStyle="1" w:styleId="54">
    <w:name w:val="样式1"/>
    <w:basedOn w:val="1"/>
    <w:link w:val="53"/>
    <w:autoRedefine/>
    <w:qFormat/>
    <w:uiPriority w:val="0"/>
    <w:pPr>
      <w:spacing w:line="360" w:lineRule="exact"/>
      <w:ind w:firstLine="200" w:firstLineChars="200"/>
    </w:pPr>
    <w:rPr>
      <w:rFonts w:ascii="Arial" w:hAnsi="Arial"/>
      <w:snapToGrid/>
      <w:kern w:val="2"/>
      <w:szCs w:val="24"/>
    </w:rPr>
  </w:style>
  <w:style w:type="character" w:customStyle="1" w:styleId="55">
    <w:name w:val="正文标准 Char"/>
    <w:link w:val="56"/>
    <w:autoRedefine/>
    <w:qFormat/>
    <w:uiPriority w:val="0"/>
    <w:rPr>
      <w:kern w:val="2"/>
      <w:sz w:val="24"/>
      <w:szCs w:val="21"/>
    </w:rPr>
  </w:style>
  <w:style w:type="paragraph" w:customStyle="1" w:styleId="56">
    <w:name w:val="正文标准"/>
    <w:basedOn w:val="1"/>
    <w:link w:val="55"/>
    <w:autoRedefine/>
    <w:qFormat/>
    <w:uiPriority w:val="0"/>
    <w:pPr>
      <w:spacing w:before="156" w:beforeLines="50"/>
      <w:ind w:firstLine="200" w:firstLineChars="200"/>
    </w:pPr>
    <w:rPr>
      <w:snapToGrid/>
      <w:kern w:val="2"/>
      <w:sz w:val="24"/>
      <w:szCs w:val="21"/>
    </w:rPr>
  </w:style>
  <w:style w:type="character" w:customStyle="1" w:styleId="57">
    <w:name w:val="正文段 Char Char"/>
    <w:link w:val="58"/>
    <w:autoRedefine/>
    <w:qFormat/>
    <w:uiPriority w:val="0"/>
    <w:rPr>
      <w:sz w:val="24"/>
    </w:rPr>
  </w:style>
  <w:style w:type="paragraph" w:customStyle="1" w:styleId="58">
    <w:name w:val="正文段"/>
    <w:basedOn w:val="1"/>
    <w:link w:val="57"/>
    <w:autoRedefine/>
    <w:qFormat/>
    <w:uiPriority w:val="0"/>
    <w:pPr>
      <w:widowControl/>
      <w:snapToGrid w:val="0"/>
      <w:spacing w:after="156" w:afterLines="50"/>
      <w:ind w:firstLine="200" w:firstLineChars="200"/>
    </w:pPr>
    <w:rPr>
      <w:snapToGrid/>
      <w:sz w:val="24"/>
    </w:rPr>
  </w:style>
  <w:style w:type="character" w:customStyle="1" w:styleId="59">
    <w:name w:val="style11"/>
    <w:autoRedefine/>
    <w:qFormat/>
    <w:uiPriority w:val="0"/>
  </w:style>
  <w:style w:type="character" w:customStyle="1" w:styleId="60">
    <w:name w:val="Char Char6"/>
    <w:autoRedefine/>
    <w:qFormat/>
    <w:uiPriority w:val="0"/>
    <w:rPr>
      <w:rFonts w:eastAsia="宋体"/>
      <w:kern w:val="2"/>
      <w:sz w:val="18"/>
      <w:szCs w:val="18"/>
      <w:lang w:val="en-US" w:eastAsia="zh-CN" w:bidi="ar-SA"/>
    </w:rPr>
  </w:style>
  <w:style w:type="character" w:customStyle="1" w:styleId="61">
    <w:name w:val="字元 字元1"/>
    <w:autoRedefine/>
    <w:qFormat/>
    <w:locked/>
    <w:uiPriority w:val="0"/>
    <w:rPr>
      <w:rFonts w:ascii="Arial" w:hAnsi="Arial" w:eastAsia="Times New Roman" w:cs="Times New Roman"/>
      <w:b/>
      <w:bCs/>
      <w:lang w:val="en-GB"/>
    </w:rPr>
  </w:style>
  <w:style w:type="character" w:customStyle="1" w:styleId="62">
    <w:name w:val="普通文字1 Char1"/>
    <w:autoRedefine/>
    <w:qFormat/>
    <w:uiPriority w:val="0"/>
    <w:rPr>
      <w:rFonts w:ascii="宋体" w:hAnsi="Courier New" w:eastAsia="宋体"/>
      <w:kern w:val="2"/>
      <w:sz w:val="21"/>
      <w:lang w:val="en-US" w:eastAsia="zh-CN" w:bidi="ar-SA"/>
    </w:rPr>
  </w:style>
  <w:style w:type="character" w:customStyle="1" w:styleId="63">
    <w:name w:val="new1"/>
    <w:autoRedefine/>
    <w:qFormat/>
    <w:uiPriority w:val="0"/>
    <w:rPr>
      <w:sz w:val="21"/>
      <w:szCs w:val="21"/>
    </w:rPr>
  </w:style>
  <w:style w:type="character" w:customStyle="1" w:styleId="64">
    <w:name w:val="ziti11"/>
    <w:autoRedefine/>
    <w:qFormat/>
    <w:uiPriority w:val="0"/>
    <w:rPr>
      <w:rFonts w:hint="default" w:ascii="ˎ̥" w:hAnsi="ˎ̥"/>
      <w:color w:val="000000"/>
      <w:sz w:val="18"/>
    </w:rPr>
  </w:style>
  <w:style w:type="character" w:customStyle="1" w:styleId="65">
    <w:name w:val="标题 1 Char"/>
    <w:autoRedefine/>
    <w:qFormat/>
    <w:uiPriority w:val="0"/>
    <w:rPr>
      <w:rFonts w:eastAsia="黑体"/>
      <w:b/>
      <w:snapToGrid w:val="0"/>
      <w:kern w:val="44"/>
      <w:sz w:val="36"/>
      <w:lang w:val="en-US" w:eastAsia="zh-CN"/>
    </w:rPr>
  </w:style>
  <w:style w:type="character" w:customStyle="1" w:styleId="66">
    <w:name w:val="纯文本 Char"/>
    <w:link w:val="67"/>
    <w:autoRedefine/>
    <w:qFormat/>
    <w:uiPriority w:val="0"/>
    <w:rPr>
      <w:rFonts w:ascii="Century Gothic" w:hAnsi="楷体_GB2312" w:eastAsia="Century Gothic"/>
      <w:kern w:val="2"/>
      <w:sz w:val="21"/>
      <w:lang w:bidi="ar-SA"/>
    </w:rPr>
  </w:style>
  <w:style w:type="paragraph" w:customStyle="1" w:styleId="67">
    <w:name w:val="纯文本1"/>
    <w:basedOn w:val="1"/>
    <w:link w:val="66"/>
    <w:autoRedefine/>
    <w:qFormat/>
    <w:uiPriority w:val="0"/>
    <w:pPr>
      <w:snapToGrid w:val="0"/>
      <w:jc w:val="left"/>
    </w:pPr>
    <w:rPr>
      <w:rFonts w:ascii="Century Gothic" w:hAnsi="楷体_GB2312" w:eastAsia="Century Gothic"/>
      <w:snapToGrid/>
      <w:kern w:val="2"/>
    </w:rPr>
  </w:style>
  <w:style w:type="character" w:customStyle="1" w:styleId="68">
    <w:name w:val="fontstyle01"/>
    <w:autoRedefine/>
    <w:qFormat/>
    <w:uiPriority w:val="0"/>
    <w:rPr>
      <w:rFonts w:hint="eastAsia" w:ascii="宋体" w:hAnsi="宋体" w:eastAsia="宋体"/>
      <w:color w:val="000000"/>
      <w:sz w:val="22"/>
      <w:szCs w:val="22"/>
    </w:rPr>
  </w:style>
  <w:style w:type="character" w:customStyle="1" w:styleId="69">
    <w:name w:val="纯文本 Char Char Char Char Char Char Char Char Char Char Char Char Char Char3"/>
    <w:autoRedefine/>
    <w:qFormat/>
    <w:uiPriority w:val="0"/>
    <w:rPr>
      <w:rFonts w:ascii="宋体" w:hAnsi="Courier New"/>
      <w:snapToGrid/>
      <w:sz w:val="18"/>
    </w:rPr>
  </w:style>
  <w:style w:type="character" w:customStyle="1" w:styleId="70">
    <w:name w:val="text5"/>
    <w:autoRedefine/>
    <w:qFormat/>
    <w:uiPriority w:val="0"/>
    <w:rPr>
      <w:color w:val="000066"/>
      <w:spacing w:val="0"/>
      <w:sz w:val="18"/>
    </w:rPr>
  </w:style>
  <w:style w:type="character" w:customStyle="1" w:styleId="71">
    <w:name w:val="htd0"/>
    <w:autoRedefine/>
    <w:qFormat/>
    <w:uiPriority w:val="0"/>
  </w:style>
  <w:style w:type="character" w:customStyle="1" w:styleId="72">
    <w:name w:val="列出段落 Char"/>
    <w:link w:val="73"/>
    <w:autoRedefine/>
    <w:qFormat/>
    <w:uiPriority w:val="0"/>
    <w:rPr>
      <w:rFonts w:eastAsia="宋体"/>
      <w:kern w:val="2"/>
      <w:sz w:val="21"/>
      <w:szCs w:val="24"/>
      <w:lang w:val="en-US" w:eastAsia="zh-CN" w:bidi="ar-SA"/>
    </w:rPr>
  </w:style>
  <w:style w:type="paragraph" w:customStyle="1" w:styleId="73">
    <w:name w:val="列出段落1"/>
    <w:basedOn w:val="1"/>
    <w:link w:val="72"/>
    <w:autoRedefine/>
    <w:qFormat/>
    <w:uiPriority w:val="34"/>
    <w:pPr>
      <w:ind w:firstLine="420" w:firstLineChars="200"/>
    </w:pPr>
    <w:rPr>
      <w:snapToGrid/>
      <w:kern w:val="2"/>
      <w:szCs w:val="24"/>
    </w:rPr>
  </w:style>
  <w:style w:type="character" w:customStyle="1" w:styleId="74">
    <w:name w:val="Char Char16"/>
    <w:autoRedefine/>
    <w:qFormat/>
    <w:uiPriority w:val="0"/>
    <w:rPr>
      <w:rFonts w:ascii="宋体" w:hAnsi="Courier New" w:eastAsia="宋体"/>
      <w:kern w:val="2"/>
      <w:sz w:val="21"/>
      <w:lang w:val="en-US" w:eastAsia="zh-CN" w:bidi="ar-SA"/>
    </w:rPr>
  </w:style>
  <w:style w:type="character" w:customStyle="1" w:styleId="75">
    <w:name w:val="apple-converted-space"/>
    <w:autoRedefine/>
    <w:qFormat/>
    <w:uiPriority w:val="0"/>
    <w:rPr>
      <w:rFonts w:cs="Times New Roman"/>
    </w:rPr>
  </w:style>
  <w:style w:type="character" w:customStyle="1" w:styleId="76">
    <w:name w:val="Plain Text Char"/>
    <w:autoRedefine/>
    <w:qFormat/>
    <w:locked/>
    <w:uiPriority w:val="0"/>
    <w:rPr>
      <w:rFonts w:ascii="宋体" w:hAnsi="宋体" w:eastAsia="宋体" w:cs="宋体"/>
      <w:kern w:val="0"/>
      <w:sz w:val="24"/>
      <w:szCs w:val="24"/>
    </w:rPr>
  </w:style>
  <w:style w:type="character" w:customStyle="1" w:styleId="77">
    <w:name w:val="fontstyle21"/>
    <w:autoRedefine/>
    <w:qFormat/>
    <w:uiPriority w:val="0"/>
    <w:rPr>
      <w:rFonts w:ascii="TimesNewRomanPSMT" w:hAnsi="TimesNewRomanPSMT" w:cs="Times New Roman"/>
      <w:color w:val="000000"/>
      <w:sz w:val="22"/>
      <w:szCs w:val="22"/>
    </w:rPr>
  </w:style>
  <w:style w:type="character" w:customStyle="1" w:styleId="78">
    <w:name w:val="fontstyle11"/>
    <w:autoRedefine/>
    <w:qFormat/>
    <w:uiPriority w:val="0"/>
    <w:rPr>
      <w:rFonts w:ascii="Arial-BoldMT" w:hAnsi="Arial-BoldMT" w:cs="Times New Roman"/>
      <w:b/>
      <w:bCs/>
      <w:color w:val="000000"/>
      <w:sz w:val="22"/>
      <w:szCs w:val="22"/>
    </w:rPr>
  </w:style>
  <w:style w:type="character" w:customStyle="1" w:styleId="79">
    <w:name w:val="nolink1"/>
    <w:autoRedefine/>
    <w:qFormat/>
    <w:uiPriority w:val="99"/>
    <w:rPr>
      <w:rFonts w:ascii="??" w:hAnsi="??" w:eastAsia="仿宋_GB2312"/>
      <w:color w:val="000000"/>
      <w:kern w:val="2"/>
      <w:sz w:val="18"/>
      <w:u w:val="none"/>
      <w:lang w:val="en-US" w:eastAsia="zh-CN"/>
    </w:rPr>
  </w:style>
  <w:style w:type="character" w:customStyle="1" w:styleId="80">
    <w:name w:val="纯文本 Char1"/>
    <w:autoRedefine/>
    <w:qFormat/>
    <w:uiPriority w:val="0"/>
    <w:rPr>
      <w:rFonts w:ascii="宋体" w:hAnsi="Courier New"/>
      <w:snapToGrid/>
      <w:sz w:val="18"/>
    </w:rPr>
  </w:style>
  <w:style w:type="character" w:customStyle="1" w:styleId="81">
    <w:name w:val="页脚 Char"/>
    <w:autoRedefine/>
    <w:qFormat/>
    <w:uiPriority w:val="99"/>
    <w:rPr>
      <w:rFonts w:eastAsia="宋体"/>
      <w:snapToGrid w:val="0"/>
      <w:sz w:val="18"/>
      <w:lang w:val="en-US" w:eastAsia="zh-CN"/>
    </w:rPr>
  </w:style>
  <w:style w:type="character" w:customStyle="1" w:styleId="82">
    <w:name w:val="普通(网站) 字符"/>
    <w:autoRedefine/>
    <w:semiHidden/>
    <w:qFormat/>
    <w:locked/>
    <w:uiPriority w:val="0"/>
    <w:rPr>
      <w:rFonts w:ascii="宋体" w:hAnsi="Times New Roman"/>
      <w:sz w:val="24"/>
      <w:szCs w:val="24"/>
    </w:rPr>
  </w:style>
  <w:style w:type="character" w:customStyle="1" w:styleId="83">
    <w:name w:val="15"/>
    <w:autoRedefine/>
    <w:qFormat/>
    <w:uiPriority w:val="0"/>
    <w:rPr>
      <w:rFonts w:hint="eastAsia" w:ascii="等线" w:hAnsi="等线" w:eastAsia="等线"/>
      <w:color w:val="0563C1"/>
      <w:u w:val="single"/>
    </w:rPr>
  </w:style>
  <w:style w:type="character" w:customStyle="1" w:styleId="84">
    <w:name w:val="无间隔 字符"/>
    <w:link w:val="85"/>
    <w:autoRedefine/>
    <w:qFormat/>
    <w:locked/>
    <w:uiPriority w:val="1"/>
    <w:rPr>
      <w:rFonts w:eastAsia="宋体"/>
      <w:kern w:val="2"/>
      <w:sz w:val="21"/>
      <w:szCs w:val="24"/>
      <w:lang w:val="en-US" w:eastAsia="zh-CN" w:bidi="ar-SA"/>
    </w:rPr>
  </w:style>
  <w:style w:type="paragraph" w:styleId="85">
    <w:name w:val="No Spacing"/>
    <w:link w:val="84"/>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默认段落字体 Para Char Char Char Char Char Char Char"/>
    <w:basedOn w:val="1"/>
    <w:autoRedefine/>
    <w:qFormat/>
    <w:uiPriority w:val="0"/>
    <w:rPr>
      <w:snapToGrid/>
      <w:kern w:val="2"/>
    </w:rPr>
  </w:style>
  <w:style w:type="paragraph" w:customStyle="1" w:styleId="87">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9">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90">
    <w:name w:val="列出段落2"/>
    <w:basedOn w:val="1"/>
    <w:autoRedefine/>
    <w:qFormat/>
    <w:uiPriority w:val="34"/>
    <w:pPr>
      <w:ind w:firstLine="420" w:firstLineChars="200"/>
    </w:pPr>
    <w:rPr>
      <w:rFonts w:ascii="Calibri" w:hAnsi="Calibri"/>
      <w:snapToGrid/>
      <w:kern w:val="2"/>
    </w:rPr>
  </w:style>
  <w:style w:type="paragraph" w:customStyle="1" w:styleId="91">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2">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3">
    <w:name w:val="Char3 Char Char Char"/>
    <w:basedOn w:val="1"/>
    <w:autoRedefine/>
    <w:qFormat/>
    <w:uiPriority w:val="0"/>
    <w:pPr>
      <w:widowControl/>
      <w:spacing w:after="160" w:line="240" w:lineRule="exact"/>
      <w:jc w:val="left"/>
    </w:pPr>
    <w:rPr>
      <w:snapToGrid/>
      <w:kern w:val="2"/>
    </w:rPr>
  </w:style>
  <w:style w:type="paragraph" w:customStyle="1" w:styleId="94">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5">
    <w:name w:val="列表段落1"/>
    <w:basedOn w:val="1"/>
    <w:autoRedefine/>
    <w:qFormat/>
    <w:uiPriority w:val="0"/>
    <w:pPr>
      <w:ind w:firstLine="420" w:firstLineChars="200"/>
    </w:pPr>
    <w:rPr>
      <w:snapToGrid/>
      <w:kern w:val="2"/>
      <w:szCs w:val="24"/>
    </w:rPr>
  </w:style>
  <w:style w:type="paragraph" w:customStyle="1" w:styleId="96">
    <w:name w:val="Char Char1 Char Char Char Char Char Char"/>
    <w:basedOn w:val="1"/>
    <w:autoRedefine/>
    <w:qFormat/>
    <w:uiPriority w:val="0"/>
    <w:pPr>
      <w:widowControl/>
      <w:spacing w:after="160" w:line="240" w:lineRule="exact"/>
      <w:jc w:val="left"/>
    </w:pPr>
  </w:style>
  <w:style w:type="paragraph" w:customStyle="1" w:styleId="97">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8">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9">
    <w:name w:val="正文－恩普"/>
    <w:basedOn w:val="8"/>
    <w:autoRedefine/>
    <w:qFormat/>
    <w:uiPriority w:val="0"/>
    <w:pPr>
      <w:widowControl/>
      <w:spacing w:after="156" w:afterLines="50" w:line="360" w:lineRule="auto"/>
      <w:ind w:firstLine="480" w:firstLineChars="200"/>
      <w:jc w:val="left"/>
    </w:pPr>
    <w:rPr>
      <w:kern w:val="0"/>
      <w:sz w:val="24"/>
    </w:rPr>
  </w:style>
  <w:style w:type="paragraph" w:customStyle="1" w:styleId="100">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101">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2">
    <w:name w:val="Char"/>
    <w:basedOn w:val="1"/>
    <w:autoRedefine/>
    <w:qFormat/>
    <w:uiPriority w:val="0"/>
    <w:rPr>
      <w:sz w:val="18"/>
    </w:rPr>
  </w:style>
  <w:style w:type="paragraph" w:customStyle="1" w:styleId="103">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4">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5">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6">
    <w:name w:val="Char Char Char"/>
    <w:basedOn w:val="1"/>
    <w:autoRedefine/>
    <w:qFormat/>
    <w:uiPriority w:val="0"/>
    <w:rPr>
      <w:rFonts w:ascii="Tahoma" w:hAnsi="Tahoma"/>
      <w:snapToGrid/>
      <w:kern w:val="2"/>
      <w:sz w:val="24"/>
    </w:rPr>
  </w:style>
  <w:style w:type="paragraph" w:customStyle="1" w:styleId="107">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8">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9">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10">
    <w:name w:val="Char2"/>
    <w:basedOn w:val="1"/>
    <w:autoRedefine/>
    <w:qFormat/>
    <w:uiPriority w:val="0"/>
    <w:pPr>
      <w:spacing w:line="360" w:lineRule="auto"/>
      <w:ind w:firstLine="420" w:firstLineChars="200"/>
    </w:pPr>
    <w:rPr>
      <w:rFonts w:ascii="宋体" w:hAnsi="宋体"/>
      <w:snapToGrid/>
      <w:kern w:val="2"/>
    </w:rPr>
  </w:style>
  <w:style w:type="paragraph" w:customStyle="1" w:styleId="111">
    <w:name w:val="Bullets"/>
    <w:basedOn w:val="1"/>
    <w:autoRedefine/>
    <w:qFormat/>
    <w:uiPriority w:val="0"/>
    <w:pPr>
      <w:widowControl/>
    </w:pPr>
    <w:rPr>
      <w:rFonts w:ascii="Arial" w:hAnsi="Arial" w:eastAsia="MS Mincho"/>
      <w:snapToGrid/>
      <w:sz w:val="24"/>
      <w:lang w:eastAsia="de-DE"/>
    </w:rPr>
  </w:style>
  <w:style w:type="paragraph" w:customStyle="1" w:styleId="112">
    <w:name w:val="p0"/>
    <w:basedOn w:val="1"/>
    <w:autoRedefine/>
    <w:qFormat/>
    <w:uiPriority w:val="0"/>
    <w:pPr>
      <w:widowControl/>
    </w:pPr>
    <w:rPr>
      <w:rFonts w:ascii="Calibri" w:hAnsi="Calibri" w:cs="宋体"/>
      <w:snapToGrid/>
      <w:szCs w:val="21"/>
    </w:rPr>
  </w:style>
  <w:style w:type="paragraph" w:customStyle="1" w:styleId="113">
    <w:name w:val="一级标题"/>
    <w:basedOn w:val="17"/>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4">
    <w:name w:val="_Style 2"/>
    <w:basedOn w:val="1"/>
    <w:autoRedefine/>
    <w:qFormat/>
    <w:uiPriority w:val="0"/>
    <w:pPr>
      <w:ind w:firstLine="420" w:firstLineChars="200"/>
    </w:pPr>
    <w:rPr>
      <w:rFonts w:ascii="Calibri" w:hAnsi="Calibri"/>
      <w:snapToGrid/>
      <w:kern w:val="2"/>
      <w:szCs w:val="22"/>
    </w:rPr>
  </w:style>
  <w:style w:type="paragraph" w:customStyle="1" w:styleId="115">
    <w:name w:val="Proposals body"/>
    <w:basedOn w:val="1"/>
    <w:next w:val="1"/>
    <w:autoRedefine/>
    <w:qFormat/>
    <w:uiPriority w:val="0"/>
    <w:pPr>
      <w:widowControl/>
      <w:spacing w:line="360" w:lineRule="auto"/>
      <w:jc w:val="left"/>
    </w:pPr>
    <w:rPr>
      <w:rFonts w:ascii="宋体"/>
      <w:color w:val="000000"/>
      <w:sz w:val="24"/>
    </w:rPr>
  </w:style>
  <w:style w:type="paragraph" w:customStyle="1" w:styleId="116">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7">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8">
    <w:name w:val="首行缩进"/>
    <w:basedOn w:val="1"/>
    <w:autoRedefine/>
    <w:qFormat/>
    <w:uiPriority w:val="0"/>
    <w:pPr>
      <w:spacing w:line="360" w:lineRule="auto"/>
      <w:ind w:firstLine="480" w:firstLineChars="200"/>
    </w:pPr>
    <w:rPr>
      <w:snapToGrid/>
      <w:sz w:val="24"/>
      <w:szCs w:val="22"/>
      <w:lang w:val="zh-CN"/>
    </w:rPr>
  </w:style>
  <w:style w:type="paragraph" w:customStyle="1" w:styleId="1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Body text|4"/>
    <w:basedOn w:val="1"/>
    <w:autoRedefine/>
    <w:qFormat/>
    <w:uiPriority w:val="0"/>
    <w:pPr>
      <w:spacing w:after="160"/>
      <w:jc w:val="right"/>
    </w:pPr>
    <w:rPr>
      <w:sz w:val="22"/>
      <w:szCs w:val="22"/>
    </w:rPr>
  </w:style>
  <w:style w:type="paragraph" w:customStyle="1" w:styleId="121">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2">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3">
    <w:name w:val="Header or footer|2"/>
    <w:basedOn w:val="1"/>
    <w:autoRedefine/>
    <w:qFormat/>
    <w:uiPriority w:val="0"/>
    <w:rPr>
      <w:sz w:val="20"/>
      <w:lang w:val="zh-TW" w:eastAsia="zh-TW" w:bidi="zh-TW"/>
    </w:rPr>
  </w:style>
  <w:style w:type="paragraph" w:customStyle="1" w:styleId="124">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5">
    <w:name w:val="Table Paragraph"/>
    <w:basedOn w:val="1"/>
    <w:autoRedefine/>
    <w:qFormat/>
    <w:uiPriority w:val="1"/>
    <w:pPr>
      <w:ind w:left="116"/>
      <w:jc w:val="center"/>
    </w:pPr>
    <w:rPr>
      <w:rFonts w:ascii="PMingLiU" w:hAnsi="PMingLiU" w:eastAsia="PMingLiU" w:cs="PMingLiU"/>
    </w:rPr>
  </w:style>
  <w:style w:type="paragraph" w:customStyle="1" w:styleId="12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font11"/>
    <w:autoRedefine/>
    <w:qFormat/>
    <w:uiPriority w:val="0"/>
    <w:rPr>
      <w:rFonts w:hint="eastAsia" w:ascii="宋体" w:hAnsi="宋体" w:eastAsia="宋体" w:cs="宋体"/>
      <w:color w:val="000000"/>
      <w:sz w:val="22"/>
      <w:szCs w:val="22"/>
      <w:u w:val="none"/>
    </w:rPr>
  </w:style>
  <w:style w:type="character" w:customStyle="1" w:styleId="128">
    <w:name w:val="正文文本首行缩进 字符"/>
    <w:link w:val="31"/>
    <w:autoRedefine/>
    <w:qFormat/>
    <w:uiPriority w:val="99"/>
    <w:rPr>
      <w:rFonts w:hAnsi="宋体"/>
      <w:snapToGrid w:val="0"/>
      <w:color w:val="000000"/>
      <w:sz w:val="21"/>
      <w:szCs w:val="21"/>
    </w:rPr>
  </w:style>
  <w:style w:type="character" w:customStyle="1" w:styleId="129">
    <w:name w:val="正文文本缩进 2 字符"/>
    <w:basedOn w:val="36"/>
    <w:link w:val="19"/>
    <w:autoRedefine/>
    <w:qFormat/>
    <w:uiPriority w:val="0"/>
    <w:rPr>
      <w:kern w:val="2"/>
      <w:sz w:val="21"/>
    </w:rPr>
  </w:style>
  <w:style w:type="character" w:customStyle="1" w:styleId="130">
    <w:name w:val="正文文本缩进 3 字符"/>
    <w:basedOn w:val="36"/>
    <w:link w:val="25"/>
    <w:autoRedefine/>
    <w:qFormat/>
    <w:uiPriority w:val="0"/>
    <w:rPr>
      <w:snapToGrid w:val="0"/>
      <w:sz w:val="16"/>
    </w:rPr>
  </w:style>
  <w:style w:type="character" w:customStyle="1" w:styleId="131">
    <w:name w:val="标题 1 字符"/>
    <w:basedOn w:val="36"/>
    <w:link w:val="4"/>
    <w:autoRedefine/>
    <w:qFormat/>
    <w:uiPriority w:val="9"/>
    <w:rPr>
      <w:b/>
      <w:snapToGrid w:val="0"/>
      <w:kern w:val="44"/>
      <w:sz w:val="28"/>
      <w:szCs w:val="28"/>
    </w:rPr>
  </w:style>
  <w:style w:type="character" w:customStyle="1" w:styleId="132">
    <w:name w:val="标题 2 字符"/>
    <w:basedOn w:val="36"/>
    <w:link w:val="5"/>
    <w:autoRedefine/>
    <w:qFormat/>
    <w:uiPriority w:val="9"/>
    <w:rPr>
      <w:rFonts w:ascii="宋体" w:hAnsi="宋体" w:cs="宋体"/>
      <w:b/>
      <w:snapToGrid w:val="0"/>
      <w:kern w:val="44"/>
      <w:sz w:val="24"/>
      <w:szCs w:val="24"/>
    </w:rPr>
  </w:style>
  <w:style w:type="character" w:customStyle="1" w:styleId="133">
    <w:name w:val="标题 3 字符"/>
    <w:basedOn w:val="36"/>
    <w:link w:val="6"/>
    <w:autoRedefine/>
    <w:qFormat/>
    <w:uiPriority w:val="9"/>
    <w:rPr>
      <w:rFonts w:ascii="宋体" w:hAnsi="宋体" w:cs="宋体"/>
      <w:b/>
      <w:snapToGrid w:val="0"/>
      <w:kern w:val="44"/>
      <w:sz w:val="24"/>
      <w:szCs w:val="24"/>
    </w:rPr>
  </w:style>
  <w:style w:type="character" w:customStyle="1" w:styleId="134">
    <w:name w:val="标题 4 字符"/>
    <w:basedOn w:val="36"/>
    <w:link w:val="7"/>
    <w:autoRedefine/>
    <w:qFormat/>
    <w:uiPriority w:val="9"/>
    <w:rPr>
      <w:rFonts w:ascii="黑体" w:eastAsia="黑体"/>
      <w:b/>
      <w:kern w:val="2"/>
      <w:sz w:val="24"/>
    </w:rPr>
  </w:style>
  <w:style w:type="character" w:customStyle="1" w:styleId="135">
    <w:name w:val="正文文本 字符"/>
    <w:basedOn w:val="36"/>
    <w:autoRedefine/>
    <w:semiHidden/>
    <w:qFormat/>
    <w:uiPriority w:val="99"/>
    <w:rPr>
      <w:kern w:val="2"/>
      <w:sz w:val="21"/>
    </w:rPr>
  </w:style>
  <w:style w:type="character" w:customStyle="1" w:styleId="136">
    <w:name w:val="批注框文本 字符"/>
    <w:basedOn w:val="36"/>
    <w:link w:val="20"/>
    <w:autoRedefine/>
    <w:qFormat/>
    <w:uiPriority w:val="99"/>
    <w:rPr>
      <w:snapToGrid w:val="0"/>
      <w:sz w:val="18"/>
    </w:rPr>
  </w:style>
  <w:style w:type="character" w:customStyle="1" w:styleId="137">
    <w:name w:val="wit_biz_data_show1"/>
    <w:basedOn w:val="36"/>
    <w:autoRedefine/>
    <w:qFormat/>
    <w:uiPriority w:val="0"/>
  </w:style>
  <w:style w:type="character" w:customStyle="1" w:styleId="138">
    <w:name w:val="正文文本 字符1"/>
    <w:link w:val="13"/>
    <w:autoRedefine/>
    <w:qFormat/>
    <w:uiPriority w:val="0"/>
    <w:rPr>
      <w:snapToGrid w:val="0"/>
      <w:sz w:val="21"/>
    </w:rPr>
  </w:style>
  <w:style w:type="paragraph" w:customStyle="1" w:styleId="139">
    <w:name w:val="列出段落21"/>
    <w:basedOn w:val="1"/>
    <w:autoRedefine/>
    <w:qFormat/>
    <w:uiPriority w:val="34"/>
    <w:pPr>
      <w:ind w:firstLine="420" w:firstLineChars="200"/>
    </w:pPr>
    <w:rPr>
      <w:snapToGrid/>
      <w:kern w:val="2"/>
    </w:rPr>
  </w:style>
  <w:style w:type="character" w:customStyle="1" w:styleId="140">
    <w:name w:val="font31"/>
    <w:basedOn w:val="36"/>
    <w:autoRedefine/>
    <w:qFormat/>
    <w:uiPriority w:val="0"/>
    <w:rPr>
      <w:rFonts w:hint="eastAsia" w:ascii="宋体" w:hAnsi="宋体" w:eastAsia="宋体" w:cs="宋体"/>
      <w:color w:val="000000"/>
      <w:sz w:val="22"/>
      <w:szCs w:val="22"/>
      <w:u w:val="none"/>
    </w:rPr>
  </w:style>
  <w:style w:type="character" w:customStyle="1" w:styleId="141">
    <w:name w:val="标题 字符"/>
    <w:basedOn w:val="36"/>
    <w:link w:val="29"/>
    <w:autoRedefine/>
    <w:qFormat/>
    <w:uiPriority w:val="0"/>
    <w:rPr>
      <w:rFonts w:ascii="黑体" w:hAnsi="黑体" w:eastAsia="黑体"/>
      <w:b/>
      <w:bCs/>
      <w:kern w:val="2"/>
      <w:sz w:val="32"/>
      <w:szCs w:val="40"/>
    </w:rPr>
  </w:style>
  <w:style w:type="character" w:customStyle="1" w:styleId="142">
    <w:name w:val="纯文本 Char2"/>
    <w:autoRedefine/>
    <w:qFormat/>
    <w:uiPriority w:val="0"/>
    <w:rPr>
      <w:rFonts w:ascii="宋体" w:hAnsi="Courier New" w:eastAsia="宋体"/>
      <w:kern w:val="2"/>
      <w:sz w:val="21"/>
      <w:lang w:val="en-US" w:eastAsia="zh-CN" w:bidi="ar-SA"/>
    </w:rPr>
  </w:style>
  <w:style w:type="paragraph" w:customStyle="1" w:styleId="143">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4">
    <w:name w:val="页脚 字符1"/>
    <w:basedOn w:val="36"/>
    <w:autoRedefine/>
    <w:semiHidden/>
    <w:qFormat/>
    <w:uiPriority w:val="99"/>
    <w:rPr>
      <w:kern w:val="2"/>
      <w:sz w:val="18"/>
      <w:szCs w:val="18"/>
    </w:rPr>
  </w:style>
  <w:style w:type="character" w:customStyle="1" w:styleId="145">
    <w:name w:val="批注框文本 字符1"/>
    <w:basedOn w:val="36"/>
    <w:autoRedefine/>
    <w:qFormat/>
    <w:uiPriority w:val="99"/>
    <w:rPr>
      <w:kern w:val="2"/>
      <w:sz w:val="18"/>
      <w:szCs w:val="18"/>
    </w:rPr>
  </w:style>
  <w:style w:type="character" w:customStyle="1" w:styleId="146">
    <w:name w:val="正文文本 字符2"/>
    <w:basedOn w:val="36"/>
    <w:autoRedefine/>
    <w:qFormat/>
    <w:uiPriority w:val="0"/>
    <w:rPr>
      <w:kern w:val="2"/>
      <w:sz w:val="21"/>
      <w:szCs w:val="24"/>
    </w:rPr>
  </w:style>
  <w:style w:type="character" w:customStyle="1" w:styleId="147">
    <w:name w:val="页眉 字符1"/>
    <w:basedOn w:val="36"/>
    <w:autoRedefine/>
    <w:semiHidden/>
    <w:qFormat/>
    <w:uiPriority w:val="99"/>
    <w:rPr>
      <w:kern w:val="2"/>
      <w:sz w:val="18"/>
      <w:szCs w:val="18"/>
    </w:rPr>
  </w:style>
  <w:style w:type="paragraph" w:customStyle="1" w:styleId="148">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9">
    <w:name w:val="表格"/>
    <w:basedOn w:val="1"/>
    <w:next w:val="1"/>
    <w:autoRedefine/>
    <w:qFormat/>
    <w:uiPriority w:val="0"/>
    <w:pPr>
      <w:spacing w:line="360" w:lineRule="auto"/>
      <w:jc w:val="center"/>
    </w:pPr>
    <w:rPr>
      <w:snapToGrid/>
      <w:kern w:val="2"/>
      <w:sz w:val="24"/>
      <w:szCs w:val="24"/>
    </w:rPr>
  </w:style>
  <w:style w:type="character" w:customStyle="1" w:styleId="150">
    <w:name w:val="日期 字符"/>
    <w:basedOn w:val="36"/>
    <w:link w:val="18"/>
    <w:autoRedefine/>
    <w:qFormat/>
    <w:uiPriority w:val="0"/>
    <w:rPr>
      <w:rFonts w:ascii="宋体" w:hAnsi="宋体"/>
      <w:kern w:val="2"/>
      <w:sz w:val="24"/>
    </w:rPr>
  </w:style>
  <w:style w:type="paragraph" w:customStyle="1" w:styleId="151">
    <w:name w:val="正文文本首行缩进1"/>
    <w:basedOn w:val="13"/>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2">
    <w:name w:val="正文文本缩进 字符"/>
    <w:basedOn w:val="36"/>
    <w:link w:val="14"/>
    <w:autoRedefine/>
    <w:qFormat/>
    <w:uiPriority w:val="0"/>
    <w:rPr>
      <w:rFonts w:ascii="宋体" w:hAnsi="宋体"/>
      <w:snapToGrid w:val="0"/>
      <w:sz w:val="24"/>
    </w:rPr>
  </w:style>
  <w:style w:type="character" w:customStyle="1" w:styleId="153">
    <w:name w:val="正文文本首行缩进 2 字符"/>
    <w:basedOn w:val="152"/>
    <w:link w:val="32"/>
    <w:autoRedefine/>
    <w:qFormat/>
    <w:uiPriority w:val="0"/>
    <w:rPr>
      <w:rFonts w:ascii="宋体" w:hAnsi="宋体"/>
      <w:snapToGrid w:val="0"/>
      <w:sz w:val="21"/>
    </w:rPr>
  </w:style>
  <w:style w:type="paragraph" w:customStyle="1" w:styleId="154">
    <w:name w:val="Normal Indent1"/>
    <w:basedOn w:val="1"/>
    <w:autoRedefine/>
    <w:qFormat/>
    <w:uiPriority w:val="0"/>
    <w:pPr>
      <w:ind w:firstLine="420" w:firstLineChars="200"/>
    </w:pPr>
  </w:style>
  <w:style w:type="paragraph" w:customStyle="1" w:styleId="155">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6">
    <w:name w:val="列表段落2"/>
    <w:basedOn w:val="1"/>
    <w:autoRedefine/>
    <w:qFormat/>
    <w:uiPriority w:val="0"/>
    <w:pPr>
      <w:ind w:firstLine="420" w:firstLineChars="200"/>
    </w:pPr>
    <w:rPr>
      <w:snapToGrid/>
      <w:kern w:val="2"/>
      <w:szCs w:val="24"/>
    </w:rPr>
  </w:style>
  <w:style w:type="paragraph" w:customStyle="1" w:styleId="15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8">
    <w:name w:val="正文_5_0"/>
    <w:basedOn w:val="1"/>
    <w:autoRedefine/>
    <w:qFormat/>
    <w:uiPriority w:val="0"/>
    <w:rPr>
      <w:rFonts w:ascii="Calibri" w:hAnsi="Calibri"/>
      <w:snapToGrid/>
      <w:kern w:val="2"/>
      <w:szCs w:val="21"/>
    </w:rPr>
  </w:style>
  <w:style w:type="paragraph" w:customStyle="1" w:styleId="159">
    <w:name w:val="正文_8_0"/>
    <w:basedOn w:val="1"/>
    <w:autoRedefine/>
    <w:qFormat/>
    <w:uiPriority w:val="0"/>
    <w:rPr>
      <w:rFonts w:ascii="Calibri" w:hAnsi="Calibri"/>
      <w:snapToGrid/>
      <w:kern w:val="2"/>
      <w:szCs w:val="21"/>
    </w:rPr>
  </w:style>
  <w:style w:type="paragraph" w:customStyle="1" w:styleId="160">
    <w:name w:val="标题 1_0_0"/>
    <w:basedOn w:val="161"/>
    <w:next w:val="161"/>
    <w:autoRedefine/>
    <w:qFormat/>
    <w:uiPriority w:val="0"/>
    <w:pPr>
      <w:keepNext/>
      <w:keepLines/>
      <w:spacing w:before="340" w:after="330" w:line="576" w:lineRule="auto"/>
      <w:outlineLvl w:val="0"/>
    </w:pPr>
    <w:rPr>
      <w:b/>
      <w:bCs/>
      <w:kern w:val="44"/>
      <w:sz w:val="44"/>
      <w:szCs w:val="44"/>
    </w:rPr>
  </w:style>
  <w:style w:type="paragraph" w:customStyle="1" w:styleId="161">
    <w:name w:val="正文_6_0"/>
    <w:basedOn w:val="1"/>
    <w:autoRedefine/>
    <w:qFormat/>
    <w:uiPriority w:val="0"/>
    <w:rPr>
      <w:rFonts w:ascii="Calibri" w:hAnsi="Calibri"/>
      <w:snapToGrid/>
      <w:kern w:val="2"/>
      <w:szCs w:val="21"/>
    </w:rPr>
  </w:style>
  <w:style w:type="paragraph" w:customStyle="1" w:styleId="162">
    <w:name w:val="正文_8_0_0"/>
    <w:basedOn w:val="1"/>
    <w:autoRedefine/>
    <w:qFormat/>
    <w:uiPriority w:val="0"/>
    <w:rPr>
      <w:rFonts w:ascii="Calibri" w:hAnsi="Calibri"/>
      <w:snapToGrid/>
      <w:kern w:val="2"/>
      <w:szCs w:val="21"/>
    </w:rPr>
  </w:style>
  <w:style w:type="paragraph" w:customStyle="1" w:styleId="163">
    <w:name w:val="正文_7_0"/>
    <w:basedOn w:val="1"/>
    <w:autoRedefine/>
    <w:qFormat/>
    <w:uiPriority w:val="0"/>
    <w:rPr>
      <w:rFonts w:ascii="Calibri" w:hAnsi="Calibri"/>
      <w:snapToGrid/>
      <w:kern w:val="2"/>
      <w:szCs w:val="21"/>
    </w:rPr>
  </w:style>
  <w:style w:type="paragraph" w:customStyle="1" w:styleId="164">
    <w:name w:val="标题 1_1"/>
    <w:basedOn w:val="163"/>
    <w:next w:val="163"/>
    <w:autoRedefine/>
    <w:qFormat/>
    <w:uiPriority w:val="0"/>
    <w:pPr>
      <w:keepNext/>
      <w:keepLines/>
      <w:spacing w:before="340" w:after="330" w:line="576" w:lineRule="auto"/>
      <w:outlineLvl w:val="0"/>
    </w:pPr>
    <w:rPr>
      <w:b/>
      <w:bCs/>
      <w:kern w:val="44"/>
      <w:sz w:val="44"/>
      <w:szCs w:val="44"/>
    </w:rPr>
  </w:style>
  <w:style w:type="paragraph" w:customStyle="1" w:styleId="165">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6">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7">
    <w:name w:val="Table Normal"/>
    <w:semiHidden/>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宋体" w:hAnsi="宋体" w:eastAsia="宋体" w:cs="宋体"/>
      <w:sz w:val="24"/>
      <w:szCs w:val="24"/>
      <w:lang w:val="en-US" w:eastAsia="en-US" w:bidi="ar-SA"/>
    </w:rPr>
  </w:style>
  <w:style w:type="character" w:customStyle="1" w:styleId="169">
    <w:name w:val="font61"/>
    <w:basedOn w:val="36"/>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32</Pages>
  <Words>10773</Words>
  <Characters>11082</Characters>
  <Lines>1</Lines>
  <Paragraphs>1</Paragraphs>
  <TotalTime>0</TotalTime>
  <ScaleCrop>false</ScaleCrop>
  <LinksUpToDate>false</LinksUpToDate>
  <CharactersWithSpaces>11518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2025-12-08T00:48:06Z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1FC4932EC0CB402AA515B55CD42F46AF_13</vt:lpwstr>
  </property>
  <property fmtid="{D5CDD505-2E9C-101B-9397-08002B2CF9AE}" pid="4" name="KSOTemplateDocerSaveRecord">
    <vt:lpwstr>eyJoZGlkIjoiNGNjMWNiZjE2MTg1MjE1NzMyOTVhMjFkZDA4Y2NkNjYiLCJ1c2VySWQiOiIxMjUyMTUyOTgyIn0=</vt:lpwstr>
  </property>
</Properties>
</file>