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rFonts w:hint="default"/>
          <w:b w:val="0"/>
          <w:color w:val="auto"/>
          <w:lang w:val="en-US"/>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eastAsia="宋体"/>
          <w:color w:val="auto"/>
          <w:sz w:val="48"/>
          <w:szCs w:val="48"/>
          <w:lang w:val="en-US" w:eastAsia="zh-CN"/>
        </w:rPr>
        <w:t>浙江省人民医院富阳院区</w:t>
      </w:r>
      <w:r>
        <w:rPr>
          <w:rFonts w:hint="eastAsia"/>
          <w:color w:val="auto"/>
          <w:sz w:val="48"/>
          <w:szCs w:val="48"/>
          <w:lang w:val="en-US" w:eastAsia="zh-CN"/>
        </w:rPr>
        <w:t>及江北院区共享充电宝服务</w:t>
      </w:r>
      <w:r>
        <w:rPr>
          <w:rFonts w:hint="eastAsia" w:eastAsia="宋体"/>
          <w:color w:val="auto"/>
          <w:sz w:val="48"/>
          <w:szCs w:val="48"/>
          <w:lang w:val="en-US" w:eastAsia="zh-CN"/>
        </w:rPr>
        <w:t>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highlight w:val="none"/>
          <w:lang w:val="en-US" w:eastAsia="zh-CN"/>
        </w:rPr>
      </w:pPr>
      <w:r>
        <w:rPr>
          <w:b/>
          <w:bCs/>
          <w:sz w:val="32"/>
          <w:szCs w:val="32"/>
        </w:rPr>
        <w:t>项目编号：</w:t>
      </w:r>
      <w:r>
        <w:rPr>
          <w:rFonts w:hint="eastAsia"/>
          <w:b/>
          <w:bCs/>
          <w:sz w:val="32"/>
          <w:szCs w:val="32"/>
          <w:highlight w:val="none"/>
          <w:lang w:eastAsia="zh-CN"/>
        </w:rPr>
        <w:t>ZRY-FYCG-</w:t>
      </w:r>
      <w:r>
        <w:rPr>
          <w:rFonts w:hint="eastAsia"/>
          <w:b/>
          <w:bCs/>
          <w:sz w:val="32"/>
          <w:szCs w:val="32"/>
          <w:highlight w:val="none"/>
          <w:lang w:val="en-US" w:eastAsia="zh-CN"/>
        </w:rPr>
        <w:t>23</w:t>
      </w:r>
      <w:r>
        <w:rPr>
          <w:rFonts w:hint="eastAsia"/>
          <w:b/>
          <w:bCs/>
          <w:sz w:val="32"/>
          <w:szCs w:val="32"/>
          <w:highlight w:val="none"/>
          <w:lang w:eastAsia="zh-CN"/>
        </w:rPr>
        <w:t>-20251</w:t>
      </w:r>
      <w:r>
        <w:rPr>
          <w:rFonts w:hint="eastAsia"/>
          <w:b/>
          <w:bCs/>
          <w:sz w:val="32"/>
          <w:szCs w:val="32"/>
          <w:highlight w:val="none"/>
          <w:lang w:val="en-US" w:eastAsia="zh-CN"/>
        </w:rPr>
        <w:t>1</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十一</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3054C580">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浙江省人民医院富阳院区</w:t>
      </w:r>
      <w:r>
        <w:rPr>
          <w:rFonts w:hint="eastAsia"/>
          <w:sz w:val="24"/>
          <w:shd w:val="clear" w:color="auto" w:fill="FFFFFF"/>
          <w:lang w:val="en-US" w:eastAsia="zh-CN" w:bidi="ar"/>
        </w:rPr>
        <w:t>拟对富阳院区及江北院区共享充电宝服务</w:t>
      </w:r>
      <w:r>
        <w:rPr>
          <w:rFonts w:hint="eastAsia"/>
          <w:sz w:val="24"/>
          <w:shd w:val="clear" w:color="auto" w:fill="FFFFFF"/>
          <w:lang w:bidi="ar"/>
        </w:rPr>
        <w:t>项目</w:t>
      </w:r>
      <w:r>
        <w:rPr>
          <w:sz w:val="24"/>
          <w:shd w:val="clear" w:color="auto" w:fill="FFFFFF"/>
          <w:lang w:bidi="ar"/>
        </w:rPr>
        <w:t>进行竞争性磋商采购，邀请合格供应商参加磋商。</w:t>
      </w:r>
    </w:p>
    <w:p w14:paraId="13CBB618">
      <w:pPr>
        <w:widowControl/>
        <w:spacing w:line="360" w:lineRule="auto"/>
        <w:jc w:val="left"/>
        <w:rPr>
          <w:sz w:val="24"/>
          <w:shd w:val="clear" w:color="auto" w:fill="FFFFFF"/>
          <w:lang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富阳院区及江北院区共享充电宝服务</w:t>
      </w:r>
      <w:r>
        <w:rPr>
          <w:rFonts w:hint="eastAsia"/>
          <w:sz w:val="24"/>
          <w:shd w:val="clear" w:color="auto" w:fill="FFFFFF"/>
          <w:lang w:bidi="ar"/>
        </w:rPr>
        <w:t>项目</w:t>
      </w:r>
    </w:p>
    <w:p w14:paraId="17F912F9">
      <w:pPr>
        <w:widowControl/>
        <w:spacing w:line="360" w:lineRule="auto"/>
        <w:jc w:val="left"/>
        <w:rPr>
          <w:rFonts w:hint="eastAsia" w:eastAsia="宋体"/>
          <w:highlight w:val="yellow"/>
          <w:lang w:val="en-US" w:eastAsia="zh-CN"/>
        </w:rPr>
      </w:pPr>
      <w:r>
        <w:rPr>
          <w:b/>
          <w:sz w:val="24"/>
          <w:shd w:val="clear" w:color="auto" w:fill="FFFFFF"/>
          <w:lang w:bidi="ar"/>
        </w:rPr>
        <w:t>二、项目编号：</w:t>
      </w:r>
      <w:r>
        <w:rPr>
          <w:rFonts w:hint="eastAsia"/>
          <w:b/>
          <w:sz w:val="24"/>
          <w:highlight w:val="none"/>
          <w:shd w:val="clear" w:color="auto" w:fill="FFFFFF"/>
          <w:lang w:bidi="ar"/>
        </w:rPr>
        <w:t>ZRY-FYCG-</w:t>
      </w:r>
      <w:r>
        <w:rPr>
          <w:rFonts w:hint="eastAsia"/>
          <w:b/>
          <w:sz w:val="24"/>
          <w:highlight w:val="none"/>
          <w:shd w:val="clear" w:color="auto" w:fill="FFFFFF"/>
          <w:lang w:val="en-US" w:eastAsia="zh-CN" w:bidi="ar"/>
        </w:rPr>
        <w:t>23</w:t>
      </w:r>
      <w:r>
        <w:rPr>
          <w:rFonts w:hint="eastAsia"/>
          <w:b/>
          <w:sz w:val="24"/>
          <w:highlight w:val="none"/>
          <w:shd w:val="clear" w:color="auto" w:fill="FFFFFF"/>
          <w:lang w:bidi="ar"/>
        </w:rPr>
        <w:t>-20251</w:t>
      </w:r>
      <w:r>
        <w:rPr>
          <w:rFonts w:hint="eastAsia"/>
          <w:b/>
          <w:sz w:val="24"/>
          <w:highlight w:val="none"/>
          <w:shd w:val="clear" w:color="auto" w:fill="FFFFFF"/>
          <w:lang w:val="en-US" w:eastAsia="zh-CN" w:bidi="ar"/>
        </w:rPr>
        <w:t>1</w:t>
      </w:r>
    </w:p>
    <w:p w14:paraId="5A37BF99">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705543E0">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066AB598">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105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354"/>
        <w:gridCol w:w="2369"/>
        <w:gridCol w:w="1241"/>
        <w:gridCol w:w="1749"/>
      </w:tblGrid>
      <w:tr w14:paraId="6DBBA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6DA653B3">
            <w:pPr>
              <w:widowControl/>
              <w:snapToGrid w:val="0"/>
              <w:jc w:val="center"/>
              <w:rPr>
                <w:sz w:val="24"/>
                <w:szCs w:val="24"/>
              </w:rPr>
            </w:pPr>
            <w:r>
              <w:rPr>
                <w:sz w:val="24"/>
                <w:szCs w:val="24"/>
              </w:rPr>
              <w:t>序号</w:t>
            </w:r>
          </w:p>
        </w:tc>
        <w:tc>
          <w:tcPr>
            <w:tcW w:w="4354" w:type="dxa"/>
            <w:vAlign w:val="center"/>
          </w:tcPr>
          <w:p w14:paraId="11DD6A2B">
            <w:pPr>
              <w:widowControl/>
              <w:snapToGrid w:val="0"/>
              <w:jc w:val="center"/>
              <w:rPr>
                <w:sz w:val="24"/>
                <w:szCs w:val="24"/>
              </w:rPr>
            </w:pPr>
            <w:r>
              <w:rPr>
                <w:sz w:val="24"/>
                <w:szCs w:val="24"/>
              </w:rPr>
              <w:t>标项内容</w:t>
            </w:r>
          </w:p>
        </w:tc>
        <w:tc>
          <w:tcPr>
            <w:tcW w:w="2369" w:type="dxa"/>
            <w:vAlign w:val="center"/>
          </w:tcPr>
          <w:p w14:paraId="69197ADA">
            <w:pPr>
              <w:widowControl/>
              <w:snapToGrid w:val="0"/>
              <w:jc w:val="center"/>
              <w:rPr>
                <w:rFonts w:hint="eastAsia" w:eastAsia="宋体"/>
                <w:sz w:val="24"/>
                <w:szCs w:val="24"/>
                <w:lang w:val="en-US" w:eastAsia="zh-CN"/>
              </w:rPr>
            </w:pPr>
            <w:r>
              <w:rPr>
                <w:rFonts w:hint="eastAsia"/>
                <w:sz w:val="24"/>
                <w:szCs w:val="24"/>
                <w:lang w:val="en-US" w:eastAsia="zh-CN"/>
              </w:rPr>
              <w:t>项</w:t>
            </w:r>
          </w:p>
        </w:tc>
        <w:tc>
          <w:tcPr>
            <w:tcW w:w="1241" w:type="dxa"/>
            <w:vAlign w:val="center"/>
          </w:tcPr>
          <w:p w14:paraId="3883A596">
            <w:pPr>
              <w:widowControl/>
              <w:snapToGrid w:val="0"/>
              <w:jc w:val="center"/>
              <w:rPr>
                <w:sz w:val="24"/>
                <w:szCs w:val="24"/>
              </w:rPr>
            </w:pPr>
            <w:r>
              <w:rPr>
                <w:sz w:val="24"/>
                <w:szCs w:val="24"/>
              </w:rPr>
              <w:t>预算金额</w:t>
            </w:r>
          </w:p>
        </w:tc>
        <w:tc>
          <w:tcPr>
            <w:tcW w:w="1749" w:type="dxa"/>
            <w:vAlign w:val="center"/>
          </w:tcPr>
          <w:p w14:paraId="62C37F77">
            <w:pPr>
              <w:widowControl/>
              <w:snapToGrid w:val="0"/>
              <w:jc w:val="center"/>
              <w:rPr>
                <w:sz w:val="24"/>
                <w:szCs w:val="24"/>
              </w:rPr>
            </w:pPr>
            <w:r>
              <w:rPr>
                <w:rFonts w:hint="eastAsia"/>
                <w:sz w:val="24"/>
                <w:szCs w:val="24"/>
              </w:rPr>
              <w:t>项目概况</w:t>
            </w:r>
          </w:p>
        </w:tc>
      </w:tr>
      <w:tr w14:paraId="567077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46222A11">
            <w:pPr>
              <w:widowControl/>
              <w:spacing w:line="360" w:lineRule="auto"/>
              <w:ind w:left="60" w:right="60"/>
              <w:jc w:val="center"/>
              <w:rPr>
                <w:sz w:val="24"/>
                <w:szCs w:val="24"/>
              </w:rPr>
            </w:pPr>
            <w:r>
              <w:rPr>
                <w:sz w:val="24"/>
                <w:szCs w:val="24"/>
              </w:rPr>
              <w:t>1</w:t>
            </w:r>
          </w:p>
        </w:tc>
        <w:tc>
          <w:tcPr>
            <w:tcW w:w="4354" w:type="dxa"/>
            <w:vAlign w:val="center"/>
          </w:tcPr>
          <w:p w14:paraId="759CEDBD">
            <w:pPr>
              <w:widowControl/>
              <w:snapToGrid w:val="0"/>
              <w:jc w:val="center"/>
              <w:rPr>
                <w:sz w:val="24"/>
                <w:szCs w:val="24"/>
              </w:rPr>
            </w:pPr>
            <w:r>
              <w:rPr>
                <w:rFonts w:hint="eastAsia"/>
                <w:sz w:val="24"/>
                <w:shd w:val="clear" w:color="auto" w:fill="FFFFFF"/>
                <w:lang w:bidi="ar"/>
              </w:rPr>
              <w:t>浙江省人民医院</w:t>
            </w:r>
            <w:r>
              <w:rPr>
                <w:rFonts w:hint="eastAsia"/>
                <w:sz w:val="24"/>
                <w:shd w:val="clear" w:color="auto" w:fill="FFFFFF"/>
                <w:lang w:val="en-US" w:eastAsia="zh-CN" w:bidi="ar"/>
              </w:rPr>
              <w:t>富阳院区及江北院区共享充电宝服务</w:t>
            </w:r>
            <w:r>
              <w:rPr>
                <w:rFonts w:hint="eastAsia"/>
                <w:sz w:val="24"/>
                <w:shd w:val="clear" w:color="auto" w:fill="FFFFFF"/>
                <w:lang w:bidi="ar"/>
              </w:rPr>
              <w:t>项目</w:t>
            </w:r>
          </w:p>
        </w:tc>
        <w:tc>
          <w:tcPr>
            <w:tcW w:w="2369" w:type="dxa"/>
            <w:shd w:val="clear" w:color="auto" w:fill="auto"/>
            <w:vAlign w:val="center"/>
          </w:tcPr>
          <w:p w14:paraId="60D5D223">
            <w:pPr>
              <w:widowControl/>
              <w:snapToGrid w:val="0"/>
              <w:jc w:val="center"/>
              <w:rPr>
                <w:rFonts w:hint="default" w:ascii="Times New Roman" w:hAnsi="Times New Roman" w:eastAsia="宋体" w:cs="Times New Roman"/>
                <w:snapToGrid w:val="0"/>
                <w:sz w:val="24"/>
                <w:szCs w:val="24"/>
                <w:lang w:val="en-US" w:eastAsia="zh-CN" w:bidi="ar-SA"/>
              </w:rPr>
            </w:pPr>
            <w:r>
              <w:rPr>
                <w:rFonts w:hint="eastAsia" w:cs="Times New Roman"/>
                <w:sz w:val="24"/>
                <w:shd w:val="clear" w:color="auto" w:fill="FFFFFF"/>
                <w:lang w:val="en-US" w:eastAsia="zh-CN" w:bidi="ar"/>
              </w:rPr>
              <w:t>1</w:t>
            </w:r>
          </w:p>
        </w:tc>
        <w:tc>
          <w:tcPr>
            <w:tcW w:w="1241" w:type="dxa"/>
            <w:vAlign w:val="center"/>
          </w:tcPr>
          <w:p w14:paraId="220CAD9D">
            <w:pPr>
              <w:jc w:val="center"/>
              <w:rPr>
                <w:rFonts w:hint="default" w:eastAsia="宋体"/>
                <w:sz w:val="24"/>
                <w:szCs w:val="24"/>
                <w:lang w:val="en-US" w:eastAsia="zh-CN"/>
              </w:rPr>
            </w:pPr>
            <w:r>
              <w:rPr>
                <w:rFonts w:hint="eastAsia"/>
                <w:sz w:val="24"/>
                <w:szCs w:val="24"/>
                <w:lang w:val="en-US" w:eastAsia="zh-CN"/>
              </w:rPr>
              <w:t>收入类</w:t>
            </w:r>
          </w:p>
        </w:tc>
        <w:tc>
          <w:tcPr>
            <w:tcW w:w="1749" w:type="dxa"/>
            <w:vAlign w:val="center"/>
          </w:tcPr>
          <w:p w14:paraId="0357CF4B">
            <w:pPr>
              <w:jc w:val="center"/>
              <w:rPr>
                <w:sz w:val="24"/>
                <w:szCs w:val="24"/>
              </w:rPr>
            </w:pPr>
            <w:r>
              <w:rPr>
                <w:rFonts w:hint="eastAsia"/>
                <w:sz w:val="24"/>
                <w:szCs w:val="24"/>
              </w:rPr>
              <w:t>详见采购需求</w:t>
            </w:r>
          </w:p>
        </w:tc>
      </w:tr>
    </w:tbl>
    <w:p w14:paraId="58C33BE6">
      <w:pPr>
        <w:widowControl/>
        <w:spacing w:line="360" w:lineRule="auto"/>
        <w:jc w:val="left"/>
        <w:rPr>
          <w:sz w:val="24"/>
          <w:szCs w:val="24"/>
        </w:rPr>
      </w:pPr>
      <w:r>
        <w:rPr>
          <w:b/>
          <w:sz w:val="24"/>
          <w:szCs w:val="24"/>
          <w:shd w:val="clear" w:color="auto" w:fill="FFFFFF"/>
          <w:lang w:bidi="ar"/>
        </w:rPr>
        <w:t>六、供应商资格条件要求：</w:t>
      </w:r>
    </w:p>
    <w:p w14:paraId="24A25395">
      <w:pPr>
        <w:widowControl/>
        <w:snapToGrid w:val="0"/>
        <w:spacing w:line="360" w:lineRule="auto"/>
        <w:rPr>
          <w:sz w:val="24"/>
          <w:szCs w:val="24"/>
        </w:rPr>
      </w:pPr>
      <w:r>
        <w:rPr>
          <w:sz w:val="24"/>
          <w:szCs w:val="24"/>
        </w:rPr>
        <w:t>（1）具有独立承担民事责任的能力；</w:t>
      </w:r>
    </w:p>
    <w:p w14:paraId="3C87D53F">
      <w:pPr>
        <w:widowControl/>
        <w:snapToGrid w:val="0"/>
        <w:spacing w:line="360" w:lineRule="auto"/>
        <w:rPr>
          <w:sz w:val="24"/>
          <w:szCs w:val="24"/>
        </w:rPr>
      </w:pPr>
      <w:r>
        <w:rPr>
          <w:sz w:val="24"/>
          <w:szCs w:val="24"/>
        </w:rPr>
        <w:t>（2）具有良好的商业信誉和健全的财务会计制度；</w:t>
      </w:r>
    </w:p>
    <w:p w14:paraId="65453884">
      <w:pPr>
        <w:widowControl/>
        <w:snapToGrid w:val="0"/>
        <w:spacing w:line="360" w:lineRule="auto"/>
        <w:rPr>
          <w:sz w:val="24"/>
          <w:szCs w:val="24"/>
        </w:rPr>
      </w:pPr>
      <w:r>
        <w:rPr>
          <w:sz w:val="24"/>
          <w:szCs w:val="24"/>
        </w:rPr>
        <w:t>（3）具有履行合同所必需的设备和专业技术能力；</w:t>
      </w:r>
    </w:p>
    <w:p w14:paraId="26A4D32D">
      <w:pPr>
        <w:widowControl/>
        <w:snapToGrid w:val="0"/>
        <w:spacing w:line="360" w:lineRule="auto"/>
        <w:rPr>
          <w:sz w:val="24"/>
          <w:szCs w:val="24"/>
        </w:rPr>
      </w:pPr>
      <w:r>
        <w:rPr>
          <w:sz w:val="24"/>
          <w:szCs w:val="24"/>
        </w:rPr>
        <w:t>（4）有依法缴纳税收和社会保障资金的良好记录；</w:t>
      </w:r>
    </w:p>
    <w:p w14:paraId="439E140D">
      <w:pPr>
        <w:widowControl/>
        <w:snapToGrid w:val="0"/>
        <w:spacing w:line="360" w:lineRule="auto"/>
        <w:rPr>
          <w:sz w:val="24"/>
          <w:szCs w:val="24"/>
        </w:rPr>
      </w:pPr>
      <w:r>
        <w:rPr>
          <w:sz w:val="24"/>
          <w:szCs w:val="24"/>
        </w:rPr>
        <w:t>（5）截止投标之日前三年内，在经营活动中没有重大违法记录；</w:t>
      </w:r>
    </w:p>
    <w:p w14:paraId="6541498A">
      <w:pPr>
        <w:widowControl/>
        <w:snapToGrid w:val="0"/>
        <w:spacing w:line="360" w:lineRule="auto"/>
        <w:rPr>
          <w:sz w:val="24"/>
          <w:szCs w:val="24"/>
        </w:rPr>
      </w:pPr>
      <w:r>
        <w:rPr>
          <w:sz w:val="24"/>
          <w:szCs w:val="24"/>
        </w:rPr>
        <w:t>（6）法律、行政法规规定的其他条件；</w:t>
      </w:r>
    </w:p>
    <w:p w14:paraId="736FEC3B">
      <w:pPr>
        <w:widowControl/>
        <w:snapToGrid w:val="0"/>
        <w:spacing w:line="360" w:lineRule="auto"/>
        <w:rPr>
          <w:sz w:val="24"/>
          <w:szCs w:val="24"/>
        </w:rPr>
      </w:pPr>
      <w:r>
        <w:rPr>
          <w:sz w:val="24"/>
          <w:szCs w:val="24"/>
        </w:rPr>
        <w:t>（7）本项目不接受联合体参磋商</w:t>
      </w:r>
      <w:r>
        <w:rPr>
          <w:rFonts w:hint="eastAsia"/>
          <w:sz w:val="24"/>
          <w:szCs w:val="24"/>
        </w:rPr>
        <w:t>；</w:t>
      </w:r>
    </w:p>
    <w:p w14:paraId="5B77C61C">
      <w:pPr>
        <w:widowControl/>
        <w:snapToGrid w:val="0"/>
        <w:spacing w:line="360" w:lineRule="auto"/>
        <w:rPr>
          <w:sz w:val="24"/>
          <w:szCs w:val="24"/>
        </w:rPr>
      </w:pPr>
      <w:r>
        <w:rPr>
          <w:rFonts w:hint="eastAsia"/>
          <w:sz w:val="24"/>
          <w:szCs w:val="24"/>
        </w:rPr>
        <w:t>（8）特定资格条件：无。</w:t>
      </w:r>
    </w:p>
    <w:p w14:paraId="24B50CDC">
      <w:pPr>
        <w:widowControl/>
        <w:snapToGrid w:val="0"/>
        <w:spacing w:line="360" w:lineRule="auto"/>
        <w:rPr>
          <w:b/>
          <w:sz w:val="24"/>
          <w:szCs w:val="24"/>
        </w:rPr>
      </w:pPr>
      <w:r>
        <w:rPr>
          <w:b/>
          <w:sz w:val="24"/>
          <w:szCs w:val="24"/>
        </w:rPr>
        <w:t>七、获取采购文件：</w:t>
      </w:r>
    </w:p>
    <w:p w14:paraId="61BA04A4">
      <w:pPr>
        <w:widowControl/>
        <w:snapToGrid w:val="0"/>
        <w:spacing w:line="360" w:lineRule="auto"/>
        <w:rPr>
          <w:sz w:val="24"/>
          <w:szCs w:val="24"/>
          <w:highlight w:val="none"/>
        </w:rPr>
      </w:pPr>
      <w:r>
        <w:rPr>
          <w:rFonts w:hint="eastAsia"/>
          <w:sz w:val="24"/>
          <w:szCs w:val="24"/>
          <w:highlight w:val="none"/>
        </w:rPr>
        <w:t>（1）获取时间：公告发布之</w:t>
      </w:r>
      <w:bookmarkStart w:id="43" w:name="_GoBack"/>
      <w:r>
        <w:rPr>
          <w:rFonts w:hint="eastAsia"/>
          <w:sz w:val="24"/>
          <w:szCs w:val="24"/>
          <w:highlight w:val="none"/>
        </w:rPr>
        <w:t>日起至2025年</w:t>
      </w:r>
      <w:r>
        <w:rPr>
          <w:rFonts w:hint="eastAsia"/>
          <w:sz w:val="24"/>
          <w:szCs w:val="24"/>
          <w:highlight w:val="none"/>
          <w:lang w:val="en-US" w:eastAsia="zh-CN"/>
        </w:rPr>
        <w:t>11</w:t>
      </w:r>
      <w:r>
        <w:rPr>
          <w:rFonts w:hint="eastAsia"/>
          <w:sz w:val="24"/>
          <w:szCs w:val="24"/>
          <w:highlight w:val="none"/>
        </w:rPr>
        <w:t>月</w:t>
      </w:r>
      <w:r>
        <w:rPr>
          <w:rFonts w:hint="eastAsia"/>
          <w:sz w:val="24"/>
          <w:szCs w:val="24"/>
          <w:highlight w:val="none"/>
          <w:lang w:val="en-US" w:eastAsia="zh-CN"/>
        </w:rPr>
        <w:t>09</w:t>
      </w:r>
      <w:r>
        <w:rPr>
          <w:rFonts w:hint="eastAsia"/>
          <w:sz w:val="24"/>
          <w:szCs w:val="24"/>
          <w:highlight w:val="none"/>
        </w:rPr>
        <w:t>日</w:t>
      </w:r>
      <w:r>
        <w:rPr>
          <w:rFonts w:hint="eastAsia"/>
          <w:sz w:val="24"/>
          <w:szCs w:val="24"/>
          <w:highlight w:val="none"/>
          <w:lang w:val="en-US" w:eastAsia="zh-CN"/>
        </w:rPr>
        <w:t>17</w:t>
      </w:r>
      <w:r>
        <w:rPr>
          <w:rFonts w:hint="eastAsia"/>
          <w:sz w:val="24"/>
          <w:szCs w:val="24"/>
          <w:highlight w:val="none"/>
        </w:rPr>
        <w:t>:00</w:t>
      </w:r>
      <w:r>
        <w:rPr>
          <w:rFonts w:hint="eastAsia"/>
          <w:sz w:val="24"/>
          <w:szCs w:val="24"/>
          <w:highlight w:val="none"/>
        </w:rPr>
        <w:t>止</w:t>
      </w:r>
    </w:p>
    <w:p w14:paraId="073937B4">
      <w:pPr>
        <w:widowControl/>
        <w:snapToGrid w:val="0"/>
        <w:spacing w:line="360" w:lineRule="auto"/>
        <w:rPr>
          <w:sz w:val="24"/>
          <w:szCs w:val="24"/>
          <w:highlight w:val="none"/>
        </w:rPr>
      </w:pPr>
      <w:r>
        <w:rPr>
          <w:sz w:val="24"/>
          <w:szCs w:val="24"/>
          <w:highlight w:val="none"/>
        </w:rPr>
        <w:t>（2）获取方式：采购文件（附件</w:t>
      </w:r>
      <w:r>
        <w:rPr>
          <w:rFonts w:hint="eastAsia"/>
          <w:sz w:val="24"/>
          <w:szCs w:val="24"/>
          <w:highlight w:val="none"/>
        </w:rPr>
        <w:t>1</w:t>
      </w:r>
      <w:r>
        <w:rPr>
          <w:sz w:val="24"/>
          <w:szCs w:val="24"/>
          <w:highlight w:val="none"/>
        </w:rPr>
        <w:t>）从公告下方自行下载获取，并请将</w:t>
      </w:r>
      <w:r>
        <w:rPr>
          <w:rFonts w:hint="eastAsia"/>
          <w:sz w:val="24"/>
          <w:szCs w:val="24"/>
          <w:highlight w:val="none"/>
        </w:rPr>
        <w:t>报名</w:t>
      </w:r>
      <w:r>
        <w:rPr>
          <w:sz w:val="24"/>
          <w:szCs w:val="24"/>
          <w:highlight w:val="none"/>
        </w:rPr>
        <w:t>登记表（附件2）、扫描件、营业执照副本扫描件、法人授权委托书扫描件、被授权人身份证扫描件发送至zjsrmyyfyyq_cgzx@163.com。</w:t>
      </w:r>
    </w:p>
    <w:p w14:paraId="47F6973F">
      <w:pPr>
        <w:widowControl/>
        <w:snapToGrid w:val="0"/>
        <w:spacing w:line="360" w:lineRule="auto"/>
        <w:rPr>
          <w:sz w:val="24"/>
          <w:szCs w:val="24"/>
          <w:highlight w:val="none"/>
        </w:rPr>
      </w:pPr>
      <w:r>
        <w:rPr>
          <w:sz w:val="24"/>
          <w:szCs w:val="24"/>
          <w:highlight w:val="none"/>
        </w:rPr>
        <w:t>（3）采购机构将拒绝接受非报名供应商参与磋商。</w:t>
      </w:r>
    </w:p>
    <w:p w14:paraId="11D5C665">
      <w:pPr>
        <w:widowControl/>
        <w:snapToGrid w:val="0"/>
        <w:spacing w:line="360" w:lineRule="auto"/>
        <w:rPr>
          <w:b/>
          <w:sz w:val="24"/>
          <w:szCs w:val="24"/>
          <w:highlight w:val="none"/>
          <w:shd w:val="clear" w:color="auto" w:fill="FFFFFF"/>
          <w:lang w:bidi="ar"/>
        </w:rPr>
      </w:pPr>
      <w:r>
        <w:rPr>
          <w:b/>
          <w:sz w:val="24"/>
          <w:szCs w:val="24"/>
          <w:highlight w:val="none"/>
          <w:shd w:val="clear" w:color="auto" w:fill="FFFFFF"/>
          <w:lang w:bidi="ar"/>
        </w:rPr>
        <w:t>八、</w:t>
      </w:r>
      <w:r>
        <w:rPr>
          <w:rFonts w:hint="eastAsia"/>
          <w:b/>
          <w:sz w:val="24"/>
          <w:szCs w:val="24"/>
          <w:highlight w:val="none"/>
          <w:shd w:val="clear" w:color="auto" w:fill="FFFFFF"/>
          <w:lang w:bidi="ar"/>
        </w:rPr>
        <w:t>响应</w:t>
      </w:r>
      <w:r>
        <w:rPr>
          <w:b/>
          <w:sz w:val="24"/>
          <w:szCs w:val="24"/>
          <w:highlight w:val="none"/>
          <w:shd w:val="clear" w:color="auto" w:fill="FFFFFF"/>
          <w:lang w:bidi="ar"/>
        </w:rPr>
        <w:t>文件递交时间与地点：</w:t>
      </w:r>
    </w:p>
    <w:p w14:paraId="1C315980">
      <w:pPr>
        <w:widowControl/>
        <w:snapToGrid w:val="0"/>
        <w:spacing w:line="360" w:lineRule="auto"/>
        <w:ind w:firstLine="480" w:firstLineChars="200"/>
        <w:rPr>
          <w:sz w:val="24"/>
          <w:szCs w:val="24"/>
          <w:highlight w:val="none"/>
          <w:shd w:val="clear" w:color="auto" w:fill="FFFFFF"/>
          <w:lang w:bidi="ar"/>
        </w:rPr>
      </w:pPr>
      <w:r>
        <w:rPr>
          <w:rFonts w:hint="eastAsia"/>
          <w:sz w:val="24"/>
          <w:szCs w:val="24"/>
          <w:highlight w:val="none"/>
          <w:shd w:val="clear" w:color="auto" w:fill="FFFFFF"/>
          <w:lang w:bidi="ar"/>
        </w:rPr>
        <w:t>供应商应于2025年</w:t>
      </w:r>
      <w:r>
        <w:rPr>
          <w:rFonts w:hint="eastAsia"/>
          <w:sz w:val="24"/>
          <w:szCs w:val="24"/>
          <w:highlight w:val="none"/>
          <w:shd w:val="clear" w:color="auto" w:fill="FFFFFF"/>
          <w:lang w:val="en-US" w:eastAsia="zh-CN" w:bidi="ar"/>
        </w:rPr>
        <w:t>11</w:t>
      </w:r>
      <w:r>
        <w:rPr>
          <w:rFonts w:hint="eastAsia"/>
          <w:sz w:val="24"/>
          <w:szCs w:val="24"/>
          <w:highlight w:val="none"/>
          <w:shd w:val="clear" w:color="auto" w:fill="FFFFFF"/>
          <w:lang w:bidi="ar"/>
        </w:rPr>
        <w:t>月</w:t>
      </w:r>
      <w:r>
        <w:rPr>
          <w:rFonts w:hint="eastAsia"/>
          <w:sz w:val="24"/>
          <w:szCs w:val="24"/>
          <w:highlight w:val="none"/>
          <w:shd w:val="clear" w:color="auto" w:fill="FFFFFF"/>
          <w:lang w:val="en-US" w:eastAsia="zh-CN" w:bidi="ar"/>
        </w:rPr>
        <w:t>10</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下午13</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14</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w:t>
      </w:r>
      <w:r>
        <w:rPr>
          <w:rFonts w:hint="eastAsia"/>
          <w:sz w:val="24"/>
          <w:szCs w:val="24"/>
          <w:highlight w:val="none"/>
          <w:shd w:val="clear" w:color="auto" w:fill="FFFFFF"/>
          <w:lang w:bidi="ar"/>
        </w:rPr>
        <w:t>0</w:t>
      </w:r>
      <w:r>
        <w:rPr>
          <w:rFonts w:hint="eastAsia"/>
          <w:sz w:val="24"/>
          <w:szCs w:val="24"/>
          <w:highlight w:val="none"/>
          <w:shd w:val="clear" w:color="auto" w:fill="FFFFFF"/>
          <w:lang w:bidi="ar"/>
        </w:rPr>
        <w:t>整将响应文件密封送交到浙江省人民医院</w:t>
      </w:r>
      <w:r>
        <w:rPr>
          <w:rFonts w:hint="eastAsia"/>
          <w:sz w:val="24"/>
          <w:szCs w:val="24"/>
          <w:highlight w:val="none"/>
          <w:shd w:val="clear" w:color="auto" w:fill="FFFFFF"/>
          <w:lang w:val="en-US" w:eastAsia="zh-CN" w:bidi="ar"/>
        </w:rPr>
        <w:t>富阳院区9</w:t>
      </w:r>
      <w:r>
        <w:rPr>
          <w:rFonts w:hint="eastAsia"/>
          <w:sz w:val="24"/>
          <w:szCs w:val="24"/>
          <w:highlight w:val="none"/>
          <w:shd w:val="clear" w:color="auto" w:fill="FFFFFF"/>
          <w:lang w:bidi="ar"/>
        </w:rPr>
        <w:t>号楼</w:t>
      </w:r>
      <w:r>
        <w:rPr>
          <w:rFonts w:hint="eastAsia"/>
          <w:sz w:val="24"/>
          <w:szCs w:val="24"/>
          <w:highlight w:val="none"/>
          <w:shd w:val="clear" w:color="auto" w:fill="FFFFFF"/>
          <w:lang w:val="en-US" w:eastAsia="zh-CN" w:bidi="ar"/>
        </w:rPr>
        <w:t>5</w:t>
      </w:r>
      <w:r>
        <w:rPr>
          <w:rFonts w:hint="eastAsia"/>
          <w:sz w:val="24"/>
          <w:szCs w:val="24"/>
          <w:highlight w:val="none"/>
          <w:shd w:val="clear" w:color="auto" w:fill="FFFFFF"/>
          <w:lang w:bidi="ar"/>
        </w:rPr>
        <w:t>楼</w:t>
      </w:r>
      <w:r>
        <w:rPr>
          <w:rFonts w:hint="eastAsia"/>
          <w:sz w:val="24"/>
          <w:szCs w:val="24"/>
          <w:highlight w:val="none"/>
          <w:shd w:val="clear" w:color="auto" w:fill="FFFFFF"/>
          <w:lang w:val="en-US" w:eastAsia="zh-CN" w:bidi="ar"/>
        </w:rPr>
        <w:t>531会议室</w:t>
      </w:r>
      <w:r>
        <w:rPr>
          <w:rFonts w:hint="eastAsia"/>
          <w:sz w:val="24"/>
          <w:szCs w:val="24"/>
          <w:highlight w:val="none"/>
          <w:shd w:val="clear" w:color="auto" w:fill="FFFFFF"/>
          <w:lang w:bidi="ar"/>
        </w:rPr>
        <w:t>。</w:t>
      </w:r>
    </w:p>
    <w:bookmarkEnd w:id="43"/>
    <w:p w14:paraId="05F5DD10">
      <w:pPr>
        <w:widowControl/>
        <w:snapToGrid w:val="0"/>
        <w:spacing w:line="360" w:lineRule="auto"/>
        <w:ind w:firstLine="480" w:firstLineChars="200"/>
        <w:rPr>
          <w:sz w:val="24"/>
          <w:szCs w:val="24"/>
          <w:highlight w:val="none"/>
          <w:shd w:val="clear" w:color="auto" w:fill="FFFFFF"/>
          <w:lang w:bidi="ar"/>
        </w:rPr>
      </w:pPr>
      <w:r>
        <w:rPr>
          <w:sz w:val="24"/>
          <w:szCs w:val="24"/>
          <w:highlight w:val="none"/>
          <w:shd w:val="clear" w:color="auto" w:fill="FFFFFF"/>
          <w:lang w:bidi="ar"/>
        </w:rPr>
        <w:t>注：逾期送达或未密封将予以拒收（或作无效响应文件处理）</w:t>
      </w:r>
      <w:r>
        <w:rPr>
          <w:rFonts w:hint="eastAsia"/>
          <w:sz w:val="24"/>
          <w:szCs w:val="24"/>
          <w:highlight w:val="none"/>
          <w:shd w:val="clear" w:color="auto" w:fill="FFFFFF"/>
          <w:lang w:bidi="ar"/>
        </w:rPr>
        <w:t>。</w:t>
      </w:r>
    </w:p>
    <w:p w14:paraId="691A5A77">
      <w:pPr>
        <w:widowControl/>
        <w:snapToGrid w:val="0"/>
        <w:spacing w:line="360" w:lineRule="auto"/>
        <w:rPr>
          <w:sz w:val="24"/>
          <w:szCs w:val="24"/>
          <w:highlight w:val="none"/>
        </w:rPr>
      </w:pPr>
      <w:r>
        <w:rPr>
          <w:b/>
          <w:sz w:val="24"/>
          <w:szCs w:val="24"/>
          <w:highlight w:val="none"/>
          <w:shd w:val="clear" w:color="auto" w:fill="FFFFFF"/>
          <w:lang w:bidi="ar"/>
        </w:rPr>
        <w:t>九、联系方式：</w:t>
      </w:r>
    </w:p>
    <w:p w14:paraId="389F58AC">
      <w:pPr>
        <w:widowControl/>
        <w:spacing w:line="360" w:lineRule="auto"/>
        <w:ind w:firstLine="480" w:firstLineChars="200"/>
        <w:jc w:val="left"/>
        <w:rPr>
          <w:rFonts w:hint="eastAsia" w:eastAsia="宋体"/>
          <w:sz w:val="24"/>
          <w:szCs w:val="24"/>
          <w:highlight w:val="none"/>
          <w:shd w:val="clear" w:color="auto" w:fill="FFFFFF"/>
          <w:lang w:val="en-US" w:eastAsia="zh-CN" w:bidi="ar"/>
        </w:rPr>
      </w:pPr>
      <w:r>
        <w:rPr>
          <w:sz w:val="24"/>
          <w:szCs w:val="24"/>
          <w:highlight w:val="none"/>
          <w:shd w:val="clear" w:color="auto" w:fill="FFFFFF"/>
          <w:lang w:bidi="ar"/>
        </w:rPr>
        <w:t>采购人名称：浙江省人民医院</w:t>
      </w:r>
      <w:r>
        <w:rPr>
          <w:rFonts w:hint="eastAsia"/>
          <w:sz w:val="24"/>
          <w:szCs w:val="24"/>
          <w:highlight w:val="none"/>
          <w:shd w:val="clear" w:color="auto" w:fill="FFFFFF"/>
          <w:lang w:val="en-US" w:eastAsia="zh-CN" w:bidi="ar"/>
        </w:rPr>
        <w:t>富阳院区</w:t>
      </w:r>
    </w:p>
    <w:p w14:paraId="621469F7">
      <w:pPr>
        <w:widowControl/>
        <w:spacing w:line="360" w:lineRule="auto"/>
        <w:ind w:firstLine="480" w:firstLineChars="200"/>
        <w:jc w:val="left"/>
        <w:rPr>
          <w:sz w:val="24"/>
          <w:szCs w:val="24"/>
          <w:highlight w:val="none"/>
          <w:shd w:val="clear" w:color="auto" w:fill="FFFFFF"/>
          <w:lang w:bidi="ar"/>
        </w:rPr>
      </w:pPr>
      <w:r>
        <w:rPr>
          <w:sz w:val="24"/>
          <w:szCs w:val="24"/>
          <w:highlight w:val="none"/>
          <w:shd w:val="clear" w:color="auto" w:fill="FFFFFF"/>
          <w:lang w:bidi="ar"/>
        </w:rPr>
        <w:t>联系人：</w:t>
      </w:r>
      <w:r>
        <w:rPr>
          <w:rFonts w:hint="eastAsia"/>
          <w:sz w:val="24"/>
          <w:szCs w:val="24"/>
          <w:highlight w:val="none"/>
          <w:shd w:val="clear" w:color="auto" w:fill="FFFFFF"/>
          <w:lang w:val="en-US" w:eastAsia="zh-CN" w:bidi="ar"/>
        </w:rPr>
        <w:t>江</w:t>
      </w:r>
      <w:r>
        <w:rPr>
          <w:sz w:val="24"/>
          <w:szCs w:val="24"/>
          <w:highlight w:val="none"/>
          <w:shd w:val="clear" w:color="auto" w:fill="FFFFFF"/>
          <w:lang w:bidi="ar"/>
        </w:rPr>
        <w:t>老师</w:t>
      </w:r>
      <w:r>
        <w:rPr>
          <w:rFonts w:hint="eastAsia"/>
          <w:sz w:val="24"/>
          <w:szCs w:val="24"/>
          <w:highlight w:val="none"/>
          <w:shd w:val="clear" w:color="auto" w:fill="FFFFFF"/>
          <w:lang w:val="en-US" w:eastAsia="zh-CN" w:bidi="ar"/>
        </w:rPr>
        <w:t xml:space="preserve"> 张老师 董老师</w:t>
      </w:r>
      <w:r>
        <w:rPr>
          <w:sz w:val="24"/>
          <w:szCs w:val="24"/>
          <w:highlight w:val="none"/>
          <w:shd w:val="clear" w:color="auto" w:fill="FFFFFF"/>
          <w:lang w:bidi="ar"/>
        </w:rPr>
        <w:t>0571-</w:t>
      </w:r>
      <w:r>
        <w:rPr>
          <w:rFonts w:hint="eastAsia"/>
          <w:sz w:val="24"/>
          <w:szCs w:val="24"/>
          <w:highlight w:val="none"/>
          <w:shd w:val="clear" w:color="auto" w:fill="FFFFFF"/>
          <w:lang w:val="en-US" w:eastAsia="zh-CN" w:bidi="ar"/>
        </w:rPr>
        <w:t>63109038</w:t>
      </w:r>
      <w:r>
        <w:rPr>
          <w:sz w:val="24"/>
          <w:szCs w:val="24"/>
          <w:highlight w:val="none"/>
          <w:shd w:val="clear" w:color="auto" w:fill="FFFFFF"/>
          <w:lang w:bidi="ar"/>
        </w:rPr>
        <w:t xml:space="preserve">     </w:t>
      </w:r>
    </w:p>
    <w:p w14:paraId="4987CAB1">
      <w:pPr>
        <w:widowControl/>
        <w:spacing w:line="360" w:lineRule="auto"/>
        <w:ind w:firstLine="480" w:firstLineChars="200"/>
        <w:rPr>
          <w:highlight w:val="none"/>
        </w:rPr>
      </w:pPr>
      <w:r>
        <w:rPr>
          <w:sz w:val="24"/>
          <w:szCs w:val="24"/>
          <w:highlight w:val="none"/>
          <w:shd w:val="clear" w:color="auto" w:fill="FFFFFF"/>
          <w:lang w:bidi="ar"/>
        </w:rPr>
        <w:t>地址：</w:t>
      </w:r>
      <w:r>
        <w:rPr>
          <w:rFonts w:hint="eastAsia"/>
          <w:sz w:val="24"/>
          <w:szCs w:val="24"/>
          <w:highlight w:val="none"/>
          <w:shd w:val="clear" w:color="auto" w:fill="FFFFFF"/>
          <w:lang w:val="en-US" w:eastAsia="zh-CN" w:bidi="ar"/>
        </w:rPr>
        <w:t>杭州市富阳区春江街道竹简路300号</w:t>
      </w:r>
      <w:r>
        <w:rPr>
          <w:sz w:val="24"/>
          <w:szCs w:val="24"/>
          <w:highlight w:val="none"/>
          <w:shd w:val="clear" w:color="auto" w:fill="FFFFFF"/>
          <w:lang w:bidi="ar"/>
        </w:rPr>
        <w:t>浙江省人民医院</w:t>
      </w:r>
      <w:r>
        <w:rPr>
          <w:rFonts w:hint="eastAsia"/>
          <w:sz w:val="24"/>
          <w:szCs w:val="24"/>
          <w:highlight w:val="none"/>
          <w:shd w:val="clear" w:color="auto" w:fill="FFFFFF"/>
          <w:lang w:val="en-US" w:eastAsia="zh-CN" w:bidi="ar"/>
        </w:rPr>
        <w:t>富阳院区</w:t>
      </w:r>
      <w:r>
        <w:rPr>
          <w:sz w:val="24"/>
          <w:szCs w:val="24"/>
          <w:highlight w:val="none"/>
          <w:shd w:val="clear" w:color="auto" w:fill="FFFFFF"/>
          <w:lang w:bidi="ar"/>
        </w:rPr>
        <w:t>采购中心</w:t>
      </w:r>
    </w:p>
    <w:p w14:paraId="43A50901">
      <w:pPr>
        <w:widowControl/>
        <w:spacing w:line="360" w:lineRule="auto"/>
        <w:ind w:firstLine="420" w:firstLineChars="200"/>
      </w:pPr>
    </w:p>
    <w:p w14:paraId="04A77647">
      <w:pPr>
        <w:widowControl/>
        <w:spacing w:line="360" w:lineRule="auto"/>
        <w:ind w:firstLine="420" w:firstLineChars="200"/>
      </w:pPr>
    </w:p>
    <w:p w14:paraId="7ED62490">
      <w:pPr>
        <w:widowControl/>
        <w:spacing w:line="360" w:lineRule="auto"/>
        <w:ind w:right="720"/>
        <w:jc w:val="center"/>
        <w:rPr>
          <w:sz w:val="24"/>
          <w:szCs w:val="24"/>
          <w:highlight w:val="none"/>
          <w:shd w:val="clear" w:color="auto" w:fill="FFFFFF"/>
          <w:lang w:bidi="ar"/>
        </w:rPr>
      </w:pPr>
    </w:p>
    <w:p w14:paraId="62D88DA2">
      <w:pPr>
        <w:pStyle w:val="29"/>
        <w:rPr>
          <w:rFonts w:hAnsi="Times New Roman"/>
          <w:color w:val="auto"/>
          <w:highlight w:val="none"/>
        </w:rPr>
      </w:pPr>
    </w:p>
    <w:bookmarkEnd w:id="4"/>
    <w:p w14:paraId="28BE7950">
      <w:pPr>
        <w:pStyle w:val="15"/>
        <w:snapToGrid w:val="0"/>
        <w:spacing w:line="360" w:lineRule="auto"/>
        <w:jc w:val="center"/>
        <w:rPr>
          <w:rFonts w:ascii="Times New Roman" w:hAnsi="Times New Roman"/>
          <w:b/>
          <w:sz w:val="28"/>
          <w:szCs w:val="28"/>
          <w:highlight w:val="none"/>
        </w:rPr>
      </w:pPr>
      <w:r>
        <w:rPr>
          <w:rFonts w:ascii="Times New Roman" w:hAnsi="Times New Roman"/>
          <w:sz w:val="21"/>
          <w:szCs w:val="21"/>
          <w:highlight w:val="none"/>
        </w:rPr>
        <w:br w:type="page"/>
      </w:r>
      <w:bookmarkEnd w:id="3"/>
      <w:r>
        <w:rPr>
          <w:rFonts w:ascii="Times New Roman" w:hAnsi="Times New Roman"/>
          <w:b/>
          <w:sz w:val="28"/>
          <w:szCs w:val="28"/>
          <w:highlight w:val="none"/>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磋商须知条款</w:t>
            </w:r>
          </w:p>
        </w:tc>
        <w:tc>
          <w:tcPr>
            <w:tcW w:w="2167" w:type="dxa"/>
            <w:vAlign w:val="center"/>
          </w:tcPr>
          <w:p w14:paraId="03A233B6">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名称</w:t>
            </w:r>
          </w:p>
        </w:tc>
        <w:tc>
          <w:tcPr>
            <w:tcW w:w="5540" w:type="dxa"/>
            <w:vAlign w:val="center"/>
          </w:tcPr>
          <w:p w14:paraId="00A679A1">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1</w:t>
            </w:r>
          </w:p>
        </w:tc>
        <w:tc>
          <w:tcPr>
            <w:tcW w:w="2167" w:type="dxa"/>
            <w:vAlign w:val="center"/>
          </w:tcPr>
          <w:p w14:paraId="58736736">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采购人</w:t>
            </w:r>
          </w:p>
        </w:tc>
        <w:tc>
          <w:tcPr>
            <w:tcW w:w="5540" w:type="dxa"/>
            <w:vAlign w:val="center"/>
          </w:tcPr>
          <w:p w14:paraId="5E4B719F">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采购人：</w:t>
            </w:r>
            <w:r>
              <w:rPr>
                <w:rFonts w:hint="eastAsia" w:ascii="宋体" w:hAnsi="宋体" w:eastAsia="宋体" w:cs="宋体"/>
                <w:sz w:val="24"/>
                <w:szCs w:val="24"/>
                <w:shd w:val="clear" w:color="auto" w:fill="FFFFFF"/>
                <w:lang w:bidi="ar"/>
              </w:rPr>
              <w:t>浙江省人民医院</w:t>
            </w:r>
            <w:r>
              <w:rPr>
                <w:rFonts w:hint="eastAsia" w:ascii="宋体" w:hAnsi="宋体" w:eastAsia="宋体" w:cs="宋体"/>
                <w:sz w:val="24"/>
                <w:szCs w:val="24"/>
                <w:shd w:val="clear" w:color="auto" w:fill="FFFFFF"/>
                <w:lang w:val="en-US" w:eastAsia="zh-CN" w:bidi="ar"/>
              </w:rPr>
              <w:t>富阳院区</w:t>
            </w:r>
          </w:p>
          <w:p w14:paraId="0F52D19B">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szCs w:val="24"/>
                <w:shd w:val="clear" w:color="auto" w:fill="FFFFFF"/>
                <w:lang w:val="en-US" w:eastAsia="zh-CN" w:bidi="ar"/>
              </w:rPr>
              <w:t>江</w:t>
            </w:r>
            <w:r>
              <w:rPr>
                <w:rFonts w:hint="eastAsia" w:ascii="宋体" w:hAnsi="宋体" w:eastAsia="宋体" w:cs="宋体"/>
                <w:sz w:val="24"/>
                <w:szCs w:val="24"/>
                <w:shd w:val="clear" w:color="auto" w:fill="FFFFFF"/>
                <w:lang w:bidi="ar"/>
              </w:rPr>
              <w:t>老师</w:t>
            </w:r>
            <w:r>
              <w:rPr>
                <w:rFonts w:hint="eastAsia" w:ascii="宋体" w:hAnsi="宋体" w:eastAsia="宋体" w:cs="宋体"/>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2</w:t>
            </w:r>
          </w:p>
        </w:tc>
        <w:tc>
          <w:tcPr>
            <w:tcW w:w="2167" w:type="dxa"/>
            <w:vAlign w:val="center"/>
          </w:tcPr>
          <w:p w14:paraId="6F14E2C7">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响应文件有效期</w:t>
            </w:r>
          </w:p>
        </w:tc>
        <w:tc>
          <w:tcPr>
            <w:tcW w:w="5540" w:type="dxa"/>
            <w:vAlign w:val="center"/>
          </w:tcPr>
          <w:p w14:paraId="0F4CE9BA">
            <w:pPr>
              <w:widowControl/>
              <w:snapToGrid w:val="0"/>
              <w:rPr>
                <w:rFonts w:hint="eastAsia" w:ascii="宋体" w:hAnsi="宋体" w:eastAsia="宋体" w:cs="宋体"/>
                <w:sz w:val="24"/>
                <w:szCs w:val="24"/>
              </w:rPr>
            </w:pPr>
            <w:r>
              <w:rPr>
                <w:rFonts w:hint="eastAsia" w:ascii="宋体" w:hAnsi="宋体" w:eastAsia="宋体" w:cs="宋体"/>
                <w:sz w:val="24"/>
                <w:szCs w:val="24"/>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rPr>
            </w:pPr>
            <w:r>
              <w:rPr>
                <w:rFonts w:hint="eastAsia" w:ascii="宋体" w:hAnsi="宋体" w:eastAsia="宋体" w:cs="宋体"/>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3</w:t>
            </w:r>
          </w:p>
        </w:tc>
        <w:tc>
          <w:tcPr>
            <w:tcW w:w="2167" w:type="dxa"/>
            <w:vAlign w:val="center"/>
          </w:tcPr>
          <w:p w14:paraId="5A01FB22">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响应文件装订要求</w:t>
            </w:r>
          </w:p>
        </w:tc>
        <w:tc>
          <w:tcPr>
            <w:tcW w:w="5540" w:type="dxa"/>
            <w:vAlign w:val="center"/>
          </w:tcPr>
          <w:p w14:paraId="190C2DC8">
            <w:pPr>
              <w:pStyle w:val="52"/>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4</w:t>
            </w:r>
          </w:p>
        </w:tc>
        <w:tc>
          <w:tcPr>
            <w:tcW w:w="2167" w:type="dxa"/>
            <w:vAlign w:val="center"/>
          </w:tcPr>
          <w:p w14:paraId="1ECFCBA0">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响应文件包装要求</w:t>
            </w:r>
          </w:p>
        </w:tc>
        <w:tc>
          <w:tcPr>
            <w:tcW w:w="5540" w:type="dxa"/>
            <w:vAlign w:val="center"/>
          </w:tcPr>
          <w:p w14:paraId="24C38BB0">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响应文件电子版（</w:t>
            </w:r>
            <w:r>
              <w:rPr>
                <w:rFonts w:hint="eastAsia" w:ascii="宋体" w:hAnsi="宋体" w:eastAsia="宋体" w:cs="宋体"/>
                <w:sz w:val="24"/>
                <w:u w:val="single"/>
              </w:rPr>
              <w:t>签字盖章后的响应文件扫描件</w:t>
            </w:r>
            <w:r>
              <w:rPr>
                <w:rFonts w:hint="eastAsia" w:ascii="宋体" w:hAnsi="宋体" w:eastAsia="宋体" w:cs="宋体"/>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5</w:t>
            </w:r>
          </w:p>
        </w:tc>
        <w:tc>
          <w:tcPr>
            <w:tcW w:w="2167" w:type="dxa"/>
            <w:vAlign w:val="center"/>
          </w:tcPr>
          <w:p w14:paraId="4328CF78">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响应文件份数</w:t>
            </w:r>
          </w:p>
        </w:tc>
        <w:tc>
          <w:tcPr>
            <w:tcW w:w="5540" w:type="dxa"/>
            <w:vAlign w:val="center"/>
          </w:tcPr>
          <w:p w14:paraId="0FABFF25">
            <w:pPr>
              <w:pStyle w:val="52"/>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6</w:t>
            </w:r>
          </w:p>
        </w:tc>
        <w:tc>
          <w:tcPr>
            <w:tcW w:w="2167" w:type="dxa"/>
            <w:vAlign w:val="center"/>
          </w:tcPr>
          <w:p w14:paraId="19A644A1">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最高限价</w:t>
            </w:r>
          </w:p>
        </w:tc>
        <w:tc>
          <w:tcPr>
            <w:tcW w:w="5540" w:type="dxa"/>
            <w:vAlign w:val="center"/>
          </w:tcPr>
          <w:p w14:paraId="1AA38891">
            <w:pPr>
              <w:pStyle w:val="52"/>
              <w:snapToGrid w:val="0"/>
              <w:spacing w:line="240" w:lineRule="auto"/>
              <w:ind w:firstLine="0" w:firstLineChars="0"/>
              <w:rPr>
                <w:rFonts w:hint="eastAsia" w:ascii="宋体" w:hAnsi="宋体" w:eastAsia="宋体" w:cs="宋体"/>
                <w:sz w:val="24"/>
                <w:lang w:val="en-US" w:eastAsia="zh-CN"/>
              </w:rPr>
            </w:pPr>
            <w:r>
              <w:rPr>
                <w:rFonts w:hint="eastAsia" w:ascii="宋体" w:hAnsi="宋体" w:eastAsia="宋体" w:cs="宋体"/>
                <w:sz w:val="24"/>
                <w:highlight w:val="none"/>
                <w:lang w:val="en-US" w:eastAsia="zh-CN"/>
              </w:rPr>
              <w:t>本项目</w:t>
            </w:r>
            <w:r>
              <w:rPr>
                <w:rFonts w:hint="eastAsia" w:ascii="宋体" w:hAnsi="宋体" w:cs="宋体"/>
                <w:sz w:val="24"/>
                <w:highlight w:val="none"/>
                <w:lang w:val="en-US" w:eastAsia="zh-CN"/>
              </w:rPr>
              <w:t>最低限价375000元/三年，即125000元/年</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7</w:t>
            </w:r>
          </w:p>
        </w:tc>
        <w:tc>
          <w:tcPr>
            <w:tcW w:w="2167" w:type="dxa"/>
            <w:vAlign w:val="center"/>
          </w:tcPr>
          <w:p w14:paraId="5C8F5D0C">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签字或盖章要求</w:t>
            </w:r>
          </w:p>
        </w:tc>
        <w:tc>
          <w:tcPr>
            <w:tcW w:w="5540" w:type="dxa"/>
            <w:vAlign w:val="center"/>
          </w:tcPr>
          <w:p w14:paraId="02F16B4E">
            <w:pPr>
              <w:pStyle w:val="52"/>
              <w:snapToGrid w:val="0"/>
              <w:spacing w:line="240" w:lineRule="auto"/>
              <w:ind w:firstLine="0" w:firstLineChars="0"/>
              <w:rPr>
                <w:rFonts w:hint="eastAsia" w:ascii="宋体" w:hAnsi="宋体" w:eastAsia="宋体" w:cs="宋体"/>
                <w:sz w:val="24"/>
                <w:u w:val="single"/>
              </w:rPr>
            </w:pPr>
            <w:r>
              <w:rPr>
                <w:rFonts w:hint="eastAsia" w:ascii="宋体" w:hAnsi="宋体" w:eastAsia="宋体" w:cs="宋体"/>
                <w:sz w:val="24"/>
              </w:rPr>
              <w:t>响应文件按“响应文件格式”中提供的格式签署、盖章。</w:t>
            </w:r>
            <w:r>
              <w:rPr>
                <w:rFonts w:hint="eastAsia" w:ascii="宋体" w:hAnsi="宋体" w:eastAsia="宋体" w:cs="宋体"/>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8</w:t>
            </w:r>
          </w:p>
        </w:tc>
        <w:tc>
          <w:tcPr>
            <w:tcW w:w="2167" w:type="dxa"/>
            <w:vAlign w:val="center"/>
          </w:tcPr>
          <w:p w14:paraId="634D0C0D">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报名截止时间</w:t>
            </w:r>
          </w:p>
        </w:tc>
        <w:tc>
          <w:tcPr>
            <w:tcW w:w="5540" w:type="dxa"/>
            <w:vAlign w:val="center"/>
          </w:tcPr>
          <w:p w14:paraId="1DD42784">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hint="eastAsia" w:ascii="宋体" w:hAnsi="宋体" w:eastAsia="宋体" w:cs="宋体"/>
                <w:sz w:val="24"/>
              </w:rPr>
            </w:pPr>
            <w:r>
              <w:rPr>
                <w:rFonts w:hint="eastAsia" w:ascii="宋体" w:hAnsi="宋体" w:eastAsia="宋体" w:cs="宋体"/>
                <w:sz w:val="24"/>
              </w:rPr>
              <w:t>9</w:t>
            </w:r>
          </w:p>
        </w:tc>
        <w:tc>
          <w:tcPr>
            <w:tcW w:w="2167" w:type="dxa"/>
            <w:vAlign w:val="center"/>
          </w:tcPr>
          <w:p w14:paraId="2B8623A7">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响应文件提交时间和地点</w:t>
            </w:r>
          </w:p>
        </w:tc>
        <w:tc>
          <w:tcPr>
            <w:tcW w:w="5540" w:type="dxa"/>
            <w:vAlign w:val="center"/>
          </w:tcPr>
          <w:p w14:paraId="5412750A">
            <w:pPr>
              <w:pStyle w:val="52"/>
              <w:snapToGrid w:val="0"/>
              <w:spacing w:line="240" w:lineRule="auto"/>
              <w:ind w:firstLine="0" w:firstLineChars="0"/>
              <w:rPr>
                <w:rFonts w:hint="eastAsia" w:ascii="宋体" w:hAnsi="宋体" w:eastAsia="宋体" w:cs="宋体"/>
                <w:sz w:val="24"/>
              </w:rPr>
            </w:pPr>
            <w:r>
              <w:rPr>
                <w:rFonts w:hint="eastAsia" w:ascii="宋体" w:hAnsi="宋体" w:eastAsia="宋体" w:cs="宋体"/>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2167" w:type="dxa"/>
            <w:vAlign w:val="center"/>
          </w:tcPr>
          <w:p w14:paraId="0BEDA3DF">
            <w:pPr>
              <w:snapToGrid w:val="0"/>
              <w:rPr>
                <w:rFonts w:hint="eastAsia" w:ascii="宋体" w:hAnsi="宋体" w:eastAsia="宋体" w:cs="宋体"/>
                <w:sz w:val="24"/>
                <w:szCs w:val="24"/>
              </w:rPr>
            </w:pPr>
            <w:r>
              <w:rPr>
                <w:rFonts w:hint="eastAsia" w:ascii="宋体" w:hAnsi="宋体" w:eastAsia="宋体" w:cs="宋体"/>
                <w:sz w:val="24"/>
                <w:szCs w:val="24"/>
              </w:rPr>
              <w:t>其他</w:t>
            </w:r>
          </w:p>
        </w:tc>
        <w:tc>
          <w:tcPr>
            <w:tcW w:w="5540" w:type="dxa"/>
            <w:vAlign w:val="center"/>
          </w:tcPr>
          <w:p w14:paraId="36B45018">
            <w:pPr>
              <w:snapToGrid w:val="0"/>
              <w:rPr>
                <w:rFonts w:hint="eastAsia" w:ascii="宋体" w:hAnsi="宋体" w:eastAsia="宋体" w:cs="宋体"/>
                <w:sz w:val="24"/>
                <w:szCs w:val="24"/>
              </w:rPr>
            </w:pPr>
            <w:r>
              <w:rPr>
                <w:rFonts w:hint="eastAsia" w:ascii="宋体" w:hAnsi="宋体" w:eastAsia="宋体" w:cs="宋体"/>
                <w:sz w:val="24"/>
                <w:szCs w:val="24"/>
              </w:rPr>
              <w:t>本项目不组织统一的现场踏勘，供应商可自行前往。</w:t>
            </w:r>
          </w:p>
          <w:p w14:paraId="3E717765">
            <w:pPr>
              <w:snapToGrid w:val="0"/>
              <w:rPr>
                <w:rFonts w:hint="eastAsia" w:ascii="宋体" w:hAnsi="宋体" w:eastAsia="宋体" w:cs="宋体"/>
                <w:sz w:val="24"/>
                <w:szCs w:val="24"/>
              </w:rPr>
            </w:pPr>
            <w:r>
              <w:rPr>
                <w:rFonts w:hint="eastAsia" w:ascii="宋体" w:hAnsi="宋体" w:eastAsia="宋体" w:cs="宋体"/>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b/>
          <w:bCs/>
        </w:rPr>
      </w:pPr>
      <w:bookmarkStart w:id="10" w:name="_Toc472544471"/>
      <w:r>
        <w:rPr>
          <w:rFonts w:hint="eastAsia"/>
          <w:b/>
          <w:bCs/>
        </w:rPr>
        <w:t>一、</w:t>
      </w:r>
      <w:r>
        <w:rPr>
          <w:rFonts w:hint="eastAsia"/>
          <w:b/>
          <w:bCs/>
          <w:lang w:val="en-US" w:eastAsia="zh-CN"/>
        </w:rPr>
        <w:t>项目概况</w:t>
      </w:r>
      <w:r>
        <w:rPr>
          <w:rFonts w:hint="eastAsia"/>
          <w:b/>
          <w:bCs/>
        </w:rPr>
        <w:t xml:space="preserve"> </w:t>
      </w:r>
    </w:p>
    <w:p w14:paraId="04F52263">
      <w:pPr>
        <w:rPr>
          <w:rFonts w:hint="eastAsia"/>
          <w:b/>
          <w:bCs/>
        </w:rPr>
      </w:pPr>
    </w:p>
    <w:p w14:paraId="22E220EF">
      <w:pPr>
        <w:spacing w:line="360" w:lineRule="auto"/>
        <w:ind w:firstLine="480" w:firstLineChars="200"/>
        <w:jc w:val="left"/>
        <w:rPr>
          <w:rFonts w:hint="eastAsia"/>
          <w:b/>
          <w:bCs/>
        </w:rPr>
      </w:pPr>
      <w:r>
        <w:rPr>
          <w:rFonts w:hint="eastAsia"/>
          <w:bCs/>
          <w:sz w:val="24"/>
          <w:shd w:val="clear" w:color="auto" w:fill="FFFFFF"/>
          <w:lang w:eastAsia="zh-CN" w:bidi="ar"/>
        </w:rPr>
        <w:t>浙江省人民医院</w:t>
      </w:r>
      <w:r>
        <w:rPr>
          <w:rFonts w:hint="eastAsia"/>
          <w:bCs/>
          <w:sz w:val="24"/>
          <w:shd w:val="clear" w:color="auto" w:fill="FFFFFF"/>
          <w:lang w:val="en-US" w:eastAsia="zh-CN" w:bidi="ar"/>
        </w:rPr>
        <w:t>富阳院区及江北院区</w:t>
      </w:r>
      <w:r>
        <w:rPr>
          <w:rFonts w:hint="eastAsia"/>
          <w:bCs/>
          <w:sz w:val="24"/>
          <w:shd w:val="clear" w:color="auto" w:fill="FFFFFF"/>
          <w:lang w:eastAsia="zh-CN" w:bidi="ar"/>
        </w:rPr>
        <w:t>共享充电宝服务项目</w:t>
      </w:r>
      <w:r>
        <w:rPr>
          <w:rFonts w:hint="eastAsia"/>
          <w:bCs/>
          <w:sz w:val="24"/>
          <w:shd w:val="clear" w:color="auto" w:fill="FFFFFF"/>
          <w:lang w:bidi="ar"/>
        </w:rPr>
        <w:t>，服务期</w:t>
      </w:r>
      <w:r>
        <w:rPr>
          <w:rFonts w:hint="eastAsia"/>
          <w:bCs/>
          <w:sz w:val="24"/>
          <w:shd w:val="clear" w:color="auto" w:fill="FFFFFF"/>
          <w:lang w:val="en-US" w:eastAsia="zh-CN" w:bidi="ar"/>
        </w:rPr>
        <w:t>3</w:t>
      </w:r>
      <w:r>
        <w:rPr>
          <w:rFonts w:hint="eastAsia"/>
          <w:bCs/>
          <w:sz w:val="24"/>
          <w:shd w:val="clear" w:color="auto" w:fill="FFFFFF"/>
          <w:lang w:bidi="ar"/>
        </w:rPr>
        <w:t>年。</w:t>
      </w:r>
    </w:p>
    <w:p w14:paraId="7F1C0FFE">
      <w:pPr>
        <w:pStyle w:val="3"/>
        <w:numPr>
          <w:ilvl w:val="0"/>
          <w:numId w:val="1"/>
        </w:numPr>
        <w:ind w:firstLine="480"/>
        <w:rPr>
          <w:rFonts w:hint="default" w:ascii="宋体" w:hAnsi="宋体" w:eastAsia="宋体" w:cs="宋体"/>
          <w:b/>
          <w:bCs/>
          <w:lang w:val="en-US" w:eastAsia="zh-CN"/>
        </w:rPr>
      </w:pPr>
      <w:r>
        <w:rPr>
          <w:rFonts w:hint="eastAsia" w:ascii="宋体" w:hAnsi="宋体" w:eastAsia="宋体" w:cs="宋体"/>
          <w:b/>
          <w:bCs/>
          <w:lang w:val="en-US" w:eastAsia="zh-CN"/>
        </w:rPr>
        <w:t>采购内容</w:t>
      </w:r>
    </w:p>
    <w:p w14:paraId="6706D225">
      <w:pPr>
        <w:spacing w:line="360" w:lineRule="auto"/>
        <w:ind w:firstLine="480" w:firstLineChars="200"/>
        <w:rPr>
          <w:rFonts w:hint="eastAsia" w:ascii="宋体" w:hAnsi="宋体"/>
          <w:sz w:val="24"/>
        </w:rPr>
      </w:pPr>
      <w:r>
        <w:rPr>
          <w:rFonts w:hint="eastAsia" w:ascii="宋体" w:hAnsi="宋体"/>
          <w:sz w:val="24"/>
        </w:rPr>
        <w:t>1.供应商免费为采购人提供共享充电箱和共享充电宝设备（以下统称：充电设备），并协助采购人完成设备安装和上线。</w:t>
      </w:r>
    </w:p>
    <w:p w14:paraId="084A3199">
      <w:pPr>
        <w:spacing w:line="360" w:lineRule="auto"/>
        <w:ind w:firstLine="480" w:firstLineChars="200"/>
        <w:rPr>
          <w:rFonts w:hint="eastAsia" w:ascii="宋体" w:hAnsi="宋体"/>
          <w:sz w:val="24"/>
        </w:rPr>
      </w:pPr>
      <w:r>
        <w:rPr>
          <w:rFonts w:hint="eastAsia" w:ascii="宋体" w:hAnsi="宋体"/>
          <w:sz w:val="24"/>
        </w:rPr>
        <w:t>2.采购人为供应商充电设备提供合适的摆放位置（即用户可看见、能触碰的位置，如收银台、自助服务台等座区等），并且保持电源（标准电源220V.10A、三线标准插座、防雨防潮、可靠接地，24小时供电（特殊情况或采购人全院停电除外））。</w:t>
      </w:r>
    </w:p>
    <w:p w14:paraId="5442EEBF">
      <w:pPr>
        <w:spacing w:line="360" w:lineRule="auto"/>
        <w:ind w:firstLine="480" w:firstLineChars="200"/>
        <w:rPr>
          <w:rFonts w:hint="eastAsia" w:ascii="宋体" w:hAnsi="宋体"/>
          <w:sz w:val="24"/>
        </w:rPr>
      </w:pPr>
      <w:r>
        <w:rPr>
          <w:rFonts w:hint="eastAsia" w:ascii="宋体" w:hAnsi="宋体"/>
          <w:sz w:val="24"/>
        </w:rPr>
        <w:t>3.供应商拥有充电设备的所有权，并免费提供给采购人使用。</w:t>
      </w:r>
    </w:p>
    <w:p w14:paraId="1E5A4468">
      <w:pPr>
        <w:spacing w:line="360" w:lineRule="auto"/>
        <w:ind w:firstLine="480" w:firstLineChars="200"/>
        <w:rPr>
          <w:rFonts w:hint="eastAsia" w:ascii="宋体" w:hAnsi="宋体"/>
          <w:sz w:val="24"/>
        </w:rPr>
      </w:pPr>
      <w:r>
        <w:rPr>
          <w:rFonts w:hint="eastAsia" w:ascii="宋体" w:hAnsi="宋体"/>
          <w:sz w:val="24"/>
        </w:rPr>
        <w:t>4.供应商提供设备数量约定如下：</w:t>
      </w:r>
      <w:r>
        <w:rPr>
          <w:rFonts w:hint="eastAsia" w:ascii="宋体" w:hAnsi="宋体" w:eastAsia="宋体" w:cs="宋体"/>
          <w:color w:val="auto"/>
          <w:sz w:val="24"/>
          <w:szCs w:val="24"/>
          <w:highlight w:val="none"/>
          <w:lang w:val="en-US" w:eastAsia="zh-CN"/>
        </w:rPr>
        <w:t>富阳院区急诊大厅1台，门诊一楼大厅1台，门诊2楼大厅1台，门诊3楼大厅1台，门诊4楼大厅1台，4楼ICU门口1台，门诊2楼输液室大厅1台，住院楼大厅1台，6号楼发热门诊大厅1台，7号楼大厅1台。江北院区：发热门诊大厅1台，输液大厅1台，门诊大厅一楼1台，二楼大厅1台，三楼大厅1台。住院一楼大厅1台。以上点位根据需求可增加及减少，增加及减少摆放点位都需经过医院审核同意</w:t>
      </w:r>
      <w:r>
        <w:rPr>
          <w:rFonts w:hint="eastAsia" w:ascii="宋体" w:hAnsi="宋体"/>
          <w:sz w:val="24"/>
        </w:rPr>
        <w:t>。如果设备出现丢失，采购人需第一时间通知供应商，并配合供应商检查、取证。</w:t>
      </w:r>
    </w:p>
    <w:p w14:paraId="782B351E">
      <w:pPr>
        <w:spacing w:line="360" w:lineRule="auto"/>
        <w:ind w:firstLine="480" w:firstLineChars="200"/>
        <w:rPr>
          <w:rFonts w:hint="eastAsia" w:ascii="宋体" w:hAnsi="宋体"/>
          <w:sz w:val="24"/>
        </w:rPr>
      </w:pPr>
      <w:r>
        <w:rPr>
          <w:rFonts w:hint="eastAsia" w:ascii="宋体" w:hAnsi="宋体"/>
          <w:sz w:val="24"/>
        </w:rPr>
        <w:t>5.供应商负责所有充电宝的投入及日常更换。</w:t>
      </w:r>
    </w:p>
    <w:p w14:paraId="0364CFB6">
      <w:pPr>
        <w:pStyle w:val="3"/>
        <w:numPr>
          <w:ilvl w:val="0"/>
          <w:numId w:val="1"/>
        </w:numPr>
        <w:ind w:firstLine="480"/>
        <w:rPr>
          <w:rFonts w:hint="default" w:ascii="宋体" w:hAnsi="宋体" w:eastAsia="宋体" w:cs="宋体"/>
          <w:b/>
          <w:bCs/>
          <w:lang w:val="en-US" w:eastAsia="zh-CN"/>
        </w:rPr>
      </w:pPr>
      <w:r>
        <w:rPr>
          <w:rFonts w:hint="eastAsia" w:ascii="宋体" w:hAnsi="宋体" w:eastAsia="宋体" w:cs="宋体"/>
          <w:b/>
          <w:bCs/>
          <w:lang w:val="en-US" w:eastAsia="zh-CN"/>
        </w:rPr>
        <w:t>商务要求</w:t>
      </w:r>
    </w:p>
    <w:p w14:paraId="2E8BCAFC">
      <w:pPr>
        <w:spacing w:line="360" w:lineRule="auto"/>
        <w:ind w:firstLine="480" w:firstLineChars="200"/>
        <w:rPr>
          <w:rFonts w:hint="eastAsia" w:ascii="宋体" w:hAnsi="宋体"/>
          <w:sz w:val="24"/>
          <w:szCs w:val="24"/>
        </w:rPr>
      </w:pPr>
      <w:r>
        <w:rPr>
          <w:rFonts w:hint="eastAsia" w:ascii="宋体" w:hAnsi="宋体"/>
          <w:sz w:val="24"/>
          <w:szCs w:val="24"/>
        </w:rPr>
        <w:t>1.报价要求：</w:t>
      </w:r>
    </w:p>
    <w:p w14:paraId="16D233F9">
      <w:pPr>
        <w:spacing w:line="360" w:lineRule="auto"/>
        <w:ind w:firstLine="480" w:firstLineChars="200"/>
        <w:rPr>
          <w:rFonts w:hint="eastAsia" w:ascii="宋体" w:hAnsi="宋体"/>
          <w:sz w:val="24"/>
          <w:szCs w:val="24"/>
        </w:rPr>
      </w:pPr>
      <w:r>
        <w:rPr>
          <w:rFonts w:hint="eastAsia" w:ascii="宋体" w:hAnsi="宋体"/>
          <w:sz w:val="24"/>
          <w:szCs w:val="24"/>
        </w:rPr>
        <w:t>本项目</w:t>
      </w:r>
      <w:r>
        <w:rPr>
          <w:rFonts w:hint="eastAsia" w:ascii="宋体" w:hAnsi="宋体" w:eastAsia="宋体" w:cs="Times New Roman"/>
          <w:sz w:val="24"/>
          <w:szCs w:val="24"/>
        </w:rPr>
        <w:t>报</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年度项目管理费，</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年度管理费用不低于人民币</w:t>
      </w:r>
      <w:r>
        <w:rPr>
          <w:rFonts w:hint="eastAsia" w:ascii="宋体" w:hAnsi="宋体" w:eastAsia="宋体" w:cs="Times New Roman"/>
          <w:sz w:val="24"/>
          <w:szCs w:val="24"/>
          <w:lang w:val="en-US" w:eastAsia="zh-CN"/>
        </w:rPr>
        <w:t>375000</w:t>
      </w:r>
      <w:r>
        <w:rPr>
          <w:rFonts w:hint="eastAsia" w:ascii="宋体" w:hAnsi="宋体" w:eastAsia="宋体" w:cs="Times New Roman"/>
          <w:sz w:val="24"/>
          <w:szCs w:val="24"/>
        </w:rPr>
        <w:t>元，</w:t>
      </w:r>
      <w:r>
        <w:rPr>
          <w:rFonts w:hint="eastAsia" w:ascii="宋体" w:hAnsi="宋体"/>
          <w:sz w:val="24"/>
          <w:szCs w:val="24"/>
        </w:rPr>
        <w:t>即</w:t>
      </w:r>
      <w:r>
        <w:rPr>
          <w:rFonts w:hint="eastAsia" w:ascii="宋体" w:hAnsi="宋体"/>
          <w:sz w:val="24"/>
          <w:szCs w:val="24"/>
          <w:lang w:val="en-US" w:eastAsia="zh-CN"/>
        </w:rPr>
        <w:t>125000</w:t>
      </w:r>
      <w:r>
        <w:rPr>
          <w:rFonts w:hint="eastAsia" w:ascii="宋体" w:hAnsi="宋体"/>
          <w:sz w:val="24"/>
          <w:szCs w:val="24"/>
        </w:rPr>
        <w:t>元/年。</w:t>
      </w:r>
    </w:p>
    <w:p w14:paraId="12064969">
      <w:pPr>
        <w:spacing w:line="360" w:lineRule="auto"/>
        <w:ind w:firstLine="480" w:firstLineChars="200"/>
        <w:rPr>
          <w:rFonts w:hint="eastAsia" w:ascii="宋体" w:hAnsi="宋体"/>
          <w:sz w:val="24"/>
          <w:szCs w:val="24"/>
        </w:rPr>
      </w:pPr>
      <w:r>
        <w:rPr>
          <w:rFonts w:hint="eastAsia" w:ascii="宋体" w:hAnsi="宋体"/>
          <w:sz w:val="24"/>
          <w:szCs w:val="24"/>
        </w:rPr>
        <w:t>备注：项目管理费为供应商支付给医院的费用。</w:t>
      </w:r>
    </w:p>
    <w:p w14:paraId="152432D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2.付款方式：按年度支付。</w:t>
      </w:r>
    </w:p>
    <w:p w14:paraId="3CEC197C">
      <w:pPr>
        <w:spacing w:line="360" w:lineRule="auto"/>
        <w:ind w:firstLine="480" w:firstLineChars="200"/>
        <w:rPr>
          <w:rFonts w:hint="eastAsia" w:ascii="宋体" w:hAnsi="宋体"/>
          <w:sz w:val="24"/>
          <w:szCs w:val="24"/>
        </w:rPr>
      </w:pPr>
      <w:r>
        <w:rPr>
          <w:rFonts w:hint="eastAsia" w:ascii="宋体" w:hAnsi="宋体"/>
          <w:sz w:val="24"/>
          <w:szCs w:val="24"/>
        </w:rPr>
        <w:t>3.在政府政策允许下，采购人根据实际情况可以要求供应商增加共享充电宝数量，管理费用双方另行协商。</w:t>
      </w:r>
    </w:p>
    <w:p w14:paraId="2927B9C1">
      <w:pPr>
        <w:spacing w:line="440" w:lineRule="exact"/>
        <w:ind w:firstLine="480" w:firstLineChars="200"/>
        <w:rPr>
          <w:rFonts w:hint="default"/>
          <w:highlight w:val="none"/>
          <w:lang w:val="en-US" w:eastAsia="zh-CN"/>
        </w:rPr>
      </w:pPr>
      <w:r>
        <w:rPr>
          <w:rFonts w:hint="eastAsia" w:ascii="宋体" w:hAnsi="宋体"/>
          <w:sz w:val="24"/>
          <w:szCs w:val="24"/>
        </w:rPr>
        <w:t>4.供应商安置于采购人场地的智能充电设备的价格根据市场统一定价</w:t>
      </w:r>
      <w:r>
        <w:rPr>
          <w:rFonts w:hint="eastAsia" w:ascii="宋体" w:hAnsi="宋体"/>
          <w:sz w:val="24"/>
          <w:szCs w:val="24"/>
          <w:highlight w:val="none"/>
        </w:rPr>
        <w:t>，每个账号每24小时免费时长为5分钟，之后按</w:t>
      </w:r>
      <w:r>
        <w:rPr>
          <w:rFonts w:hint="eastAsia" w:ascii="宋体" w:hAnsi="宋体"/>
          <w:sz w:val="24"/>
          <w:szCs w:val="24"/>
          <w:highlight w:val="none"/>
          <w:lang w:val="en-US" w:eastAsia="zh-CN"/>
        </w:rPr>
        <w:t>3</w:t>
      </w:r>
      <w:r>
        <w:rPr>
          <w:rFonts w:hint="eastAsia" w:ascii="宋体" w:hAnsi="宋体"/>
          <w:sz w:val="24"/>
          <w:szCs w:val="24"/>
          <w:highlight w:val="none"/>
        </w:rPr>
        <w:t>元/小时向用户收费，封顶为</w:t>
      </w:r>
      <w:r>
        <w:rPr>
          <w:rFonts w:hint="eastAsia" w:ascii="宋体" w:hAnsi="宋体"/>
          <w:sz w:val="24"/>
          <w:szCs w:val="24"/>
          <w:highlight w:val="none"/>
          <w:lang w:val="en-US" w:eastAsia="zh-CN"/>
        </w:rPr>
        <w:t>15</w:t>
      </w:r>
      <w:r>
        <w:rPr>
          <w:rFonts w:hint="eastAsia" w:ascii="宋体" w:hAnsi="宋体"/>
          <w:sz w:val="24"/>
          <w:szCs w:val="24"/>
          <w:highlight w:val="none"/>
        </w:rPr>
        <w:t>元/24小时</w:t>
      </w:r>
      <w:r>
        <w:rPr>
          <w:rFonts w:hint="eastAsia" w:ascii="宋体" w:hAnsi="宋体"/>
          <w:sz w:val="24"/>
          <w:szCs w:val="24"/>
          <w:highlight w:val="none"/>
          <w:lang w:eastAsia="zh-CN"/>
        </w:rPr>
        <w:t>，</w:t>
      </w:r>
      <w:r>
        <w:rPr>
          <w:rFonts w:hint="eastAsia" w:ascii="宋体" w:hAnsi="宋体"/>
          <w:sz w:val="24"/>
          <w:szCs w:val="24"/>
          <w:highlight w:val="none"/>
          <w:lang w:val="en-US" w:eastAsia="zh-CN"/>
        </w:rPr>
        <w:t>总封顶99元</w:t>
      </w:r>
      <w:r>
        <w:rPr>
          <w:rFonts w:hint="eastAsia" w:ascii="宋体" w:hAnsi="宋体"/>
          <w:sz w:val="24"/>
          <w:szCs w:val="24"/>
          <w:highlight w:val="none"/>
        </w:rPr>
        <w:t>；后期如有价格更改须征得采购人同意。</w:t>
      </w:r>
    </w:p>
    <w:p w14:paraId="539A8EF0">
      <w:pPr>
        <w:pStyle w:val="3"/>
        <w:numPr>
          <w:ilvl w:val="0"/>
          <w:numId w:val="1"/>
        </w:numPr>
        <w:ind w:firstLine="480"/>
        <w:rPr>
          <w:rFonts w:hint="default" w:ascii="宋体" w:hAnsi="宋体" w:eastAsia="宋体" w:cs="宋体"/>
          <w:b/>
          <w:bCs/>
          <w:lang w:val="en-US" w:eastAsia="zh-CN"/>
        </w:rPr>
      </w:pPr>
      <w:r>
        <w:rPr>
          <w:rFonts w:hint="eastAsia" w:cs="宋体"/>
          <w:b/>
          <w:bCs/>
          <w:lang w:val="en-US" w:eastAsia="zh-CN"/>
        </w:rPr>
        <w:t>服务</w:t>
      </w:r>
      <w:r>
        <w:rPr>
          <w:rFonts w:hint="eastAsia" w:ascii="宋体" w:hAnsi="宋体" w:eastAsia="宋体" w:cs="宋体"/>
          <w:b/>
          <w:bCs/>
          <w:lang w:val="en-US" w:eastAsia="zh-CN"/>
        </w:rPr>
        <w:t>要求</w:t>
      </w:r>
    </w:p>
    <w:p w14:paraId="014FE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合同期内需指派4名运维人员作为联络人维护院区设备，保管并确保乙方设备完好和安全，如出现丢失（乙方设备在乙方后台显示不在线超过10日）或外力损坏，由乙方负责维修和补充,甲方有义务协助乙方调查。乙方必须每周安排运维人员到院对每台设备进行检测，并按照甲方要求做好检测记录，乙方未按要求进行检测并记录的，甲方有权进行处罚，每少检测一次，处罚人民币500元，乙方拒不缴纳的，甲方有权从保证金中扣除。</w:t>
      </w:r>
    </w:p>
    <w:p w14:paraId="45D1D195">
      <w:pPr>
        <w:widowControl w:val="0"/>
        <w:wordWrap/>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2.在租借过程中，由于乙方设施设备造成用户生命财产等损失，乙方负全部责任，甲方无须承担。</w:t>
      </w:r>
    </w:p>
    <w:p w14:paraId="4C336B1E">
      <w:pPr>
        <w:widowControl w:val="0"/>
        <w:wordWrap/>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3.因乙方原因导致患者或者本院职工投诉的，经甲方主管科室核实后予以每次人民币500元的处罚，乙方拒不缴纳的，甲方有权从保证金中扣除。</w:t>
      </w:r>
    </w:p>
    <w:p w14:paraId="4364E0FF">
      <w:pPr>
        <w:pStyle w:val="40"/>
        <w:rPr>
          <w:rFonts w:hint="eastAsia"/>
          <w:highlight w:val="none"/>
          <w:lang w:val="en-US" w:eastAsia="zh-CN"/>
        </w:rPr>
      </w:pPr>
    </w:p>
    <w:p w14:paraId="54D49712">
      <w:pPr>
        <w:pStyle w:val="40"/>
        <w:rPr>
          <w:rFonts w:hint="eastAsia"/>
          <w:highlight w:val="none"/>
          <w:lang w:val="en-US" w:eastAsia="zh-CN"/>
        </w:rPr>
      </w:pPr>
    </w:p>
    <w:p w14:paraId="53F167DA">
      <w:pPr>
        <w:pStyle w:val="40"/>
        <w:widowControl w:val="0"/>
        <w:numPr>
          <w:ilvl w:val="0"/>
          <w:numId w:val="0"/>
        </w:numPr>
        <w:adjustRightInd w:val="0"/>
        <w:spacing w:line="360" w:lineRule="auto"/>
        <w:jc w:val="both"/>
        <w:rPr>
          <w:rFonts w:hint="eastAsia"/>
          <w:highlight w:val="none"/>
          <w:lang w:eastAsia="zh-CN"/>
        </w:rPr>
      </w:pPr>
    </w:p>
    <w:p w14:paraId="46DD3852">
      <w:pPr>
        <w:pStyle w:val="40"/>
        <w:widowControl w:val="0"/>
        <w:numPr>
          <w:ilvl w:val="0"/>
          <w:numId w:val="0"/>
        </w:numPr>
        <w:adjustRightInd w:val="0"/>
        <w:spacing w:line="360" w:lineRule="auto"/>
        <w:jc w:val="both"/>
        <w:rPr>
          <w:rFonts w:hint="eastAsia"/>
          <w:highlight w:val="none"/>
          <w:lang w:eastAsia="zh-CN"/>
        </w:rPr>
      </w:pPr>
    </w:p>
    <w:p w14:paraId="465F6911">
      <w:pPr>
        <w:pStyle w:val="40"/>
        <w:widowControl w:val="0"/>
        <w:numPr>
          <w:ilvl w:val="0"/>
          <w:numId w:val="0"/>
        </w:numPr>
        <w:adjustRightInd w:val="0"/>
        <w:spacing w:line="360" w:lineRule="auto"/>
        <w:jc w:val="both"/>
        <w:rPr>
          <w:rFonts w:hint="eastAsia"/>
          <w:highlight w:val="none"/>
          <w:lang w:eastAsia="zh-CN"/>
        </w:rPr>
      </w:pPr>
    </w:p>
    <w:p w14:paraId="035F33A7">
      <w:pPr>
        <w:pStyle w:val="40"/>
        <w:widowControl w:val="0"/>
        <w:numPr>
          <w:ilvl w:val="0"/>
          <w:numId w:val="0"/>
        </w:numPr>
        <w:adjustRightInd w:val="0"/>
        <w:spacing w:line="360" w:lineRule="auto"/>
        <w:jc w:val="both"/>
        <w:rPr>
          <w:rFonts w:hint="eastAsia"/>
          <w:highlight w:val="none"/>
          <w:lang w:eastAsia="zh-CN"/>
        </w:rPr>
      </w:pPr>
    </w:p>
    <w:p w14:paraId="77E9B469">
      <w:pPr>
        <w:pStyle w:val="40"/>
        <w:widowControl w:val="0"/>
        <w:numPr>
          <w:ilvl w:val="0"/>
          <w:numId w:val="0"/>
        </w:numPr>
        <w:adjustRightInd w:val="0"/>
        <w:spacing w:line="360" w:lineRule="auto"/>
        <w:jc w:val="both"/>
        <w:rPr>
          <w:rFonts w:hint="eastAsia"/>
          <w:highlight w:val="none"/>
          <w:lang w:eastAsia="zh-CN"/>
        </w:rPr>
      </w:pPr>
    </w:p>
    <w:p w14:paraId="1482F24C">
      <w:pPr>
        <w:pStyle w:val="40"/>
        <w:widowControl w:val="0"/>
        <w:numPr>
          <w:ilvl w:val="0"/>
          <w:numId w:val="0"/>
        </w:numPr>
        <w:adjustRightInd w:val="0"/>
        <w:spacing w:line="360" w:lineRule="auto"/>
        <w:jc w:val="both"/>
        <w:rPr>
          <w:rFonts w:hint="eastAsia"/>
          <w:highlight w:val="none"/>
          <w:lang w:eastAsia="zh-CN"/>
        </w:rPr>
      </w:pPr>
    </w:p>
    <w:p w14:paraId="69AACC38">
      <w:pPr>
        <w:pStyle w:val="2"/>
      </w:pPr>
    </w:p>
    <w:p w14:paraId="32F3FBDF">
      <w:pPr>
        <w:pStyle w:val="2"/>
        <w:jc w:val="both"/>
      </w:pPr>
    </w:p>
    <w:p w14:paraId="4B21B4A6">
      <w:pPr>
        <w:pStyle w:val="2"/>
      </w:pPr>
    </w:p>
    <w:p w14:paraId="53B20676"/>
    <w:p w14:paraId="57666175">
      <w:pPr>
        <w:pStyle w:val="2"/>
        <w:jc w:val="center"/>
      </w:pPr>
    </w:p>
    <w:p w14:paraId="7443D736"/>
    <w:p w14:paraId="2F974403"/>
    <w:bookmarkEnd w:id="6"/>
    <w:bookmarkEnd w:id="10"/>
    <w:p w14:paraId="1AF2A56E">
      <w:pPr>
        <w:pStyle w:val="17"/>
        <w:adjustRightInd w:val="0"/>
        <w:snapToGrid w:val="0"/>
        <w:spacing w:after="0" w:line="360" w:lineRule="auto"/>
        <w:ind w:left="0" w:leftChars="0" w:firstLine="480" w:firstLineChars="200"/>
        <w:rPr>
          <w:sz w:val="24"/>
          <w:szCs w:val="24"/>
        </w:rPr>
      </w:pPr>
    </w:p>
    <w:p w14:paraId="436EDD97">
      <w:pPr>
        <w:pStyle w:val="17"/>
        <w:adjustRightInd w:val="0"/>
        <w:snapToGrid w:val="0"/>
        <w:spacing w:after="0" w:line="360" w:lineRule="auto"/>
        <w:ind w:left="0" w:leftChars="0" w:firstLine="480" w:firstLineChars="200"/>
        <w:rPr>
          <w:sz w:val="24"/>
          <w:szCs w:val="24"/>
        </w:rPr>
      </w:pPr>
    </w:p>
    <w:p w14:paraId="527717BB">
      <w:pPr>
        <w:pStyle w:val="17"/>
        <w:adjustRightInd w:val="0"/>
        <w:snapToGrid w:val="0"/>
        <w:spacing w:after="0" w:line="360" w:lineRule="auto"/>
        <w:ind w:left="0" w:leftChars="0" w:firstLine="480" w:firstLineChars="200"/>
        <w:rPr>
          <w:sz w:val="24"/>
          <w:szCs w:val="24"/>
        </w:rPr>
      </w:pPr>
    </w:p>
    <w:p w14:paraId="5C6DC869">
      <w:pPr>
        <w:pStyle w:val="17"/>
        <w:adjustRightInd w:val="0"/>
        <w:snapToGrid w:val="0"/>
        <w:spacing w:after="0" w:line="360" w:lineRule="auto"/>
        <w:ind w:left="0" w:leftChars="0" w:firstLine="480" w:firstLineChars="200"/>
        <w:rPr>
          <w:sz w:val="24"/>
          <w:szCs w:val="24"/>
        </w:rPr>
      </w:pPr>
    </w:p>
    <w:p w14:paraId="3460EEB9">
      <w:pPr>
        <w:pStyle w:val="2"/>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1" w:name="_Toc345320402"/>
      <w:bookmarkStart w:id="12" w:name="_Toc171394922"/>
      <w:bookmarkStart w:id="13" w:name="_Toc118516218"/>
      <w:r>
        <w:rPr>
          <w:rFonts w:hint="eastAsia"/>
          <w:b/>
          <w:bCs/>
          <w:color w:val="000000"/>
          <w:sz w:val="24"/>
          <w:szCs w:val="24"/>
        </w:rPr>
        <w:t>1、</w:t>
      </w:r>
      <w:r>
        <w:rPr>
          <w:b/>
          <w:bCs/>
          <w:color w:val="000000"/>
          <w:sz w:val="24"/>
          <w:szCs w:val="24"/>
        </w:rPr>
        <w:t>商务技术分</w:t>
      </w:r>
      <w:bookmarkEnd w:id="11"/>
      <w:r>
        <w:rPr>
          <w:b/>
          <w:bCs/>
          <w:color w:val="000000"/>
          <w:sz w:val="24"/>
          <w:szCs w:val="24"/>
        </w:rPr>
        <w:t>（</w:t>
      </w:r>
      <w:r>
        <w:rPr>
          <w:rFonts w:hint="eastAsia"/>
          <w:b/>
          <w:bCs/>
          <w:color w:val="000000"/>
          <w:sz w:val="24"/>
          <w:szCs w:val="24"/>
          <w:lang w:val="en-US" w:eastAsia="zh-CN"/>
        </w:rPr>
        <w:t>60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4"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166" w:type="dxa"/>
        <w:tblInd w:w="-1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45"/>
        <w:gridCol w:w="6181"/>
        <w:gridCol w:w="775"/>
      </w:tblGrid>
      <w:tr w14:paraId="261BB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C4E3815">
            <w:pPr>
              <w:spacing w:line="360" w:lineRule="auto"/>
              <w:jc w:val="center"/>
              <w:rPr>
                <w:color w:val="000000"/>
              </w:rPr>
            </w:pPr>
            <w:r>
              <w:rPr>
                <w:color w:val="000000"/>
              </w:rPr>
              <w:t>序号</w:t>
            </w:r>
          </w:p>
        </w:tc>
        <w:tc>
          <w:tcPr>
            <w:tcW w:w="1445" w:type="dxa"/>
            <w:vAlign w:val="center"/>
          </w:tcPr>
          <w:p w14:paraId="1F04C7B4">
            <w:pPr>
              <w:spacing w:line="360" w:lineRule="auto"/>
              <w:jc w:val="center"/>
              <w:rPr>
                <w:color w:val="000000"/>
              </w:rPr>
            </w:pPr>
            <w:r>
              <w:rPr>
                <w:color w:val="000000"/>
              </w:rPr>
              <w:t>项目</w:t>
            </w:r>
          </w:p>
        </w:tc>
        <w:tc>
          <w:tcPr>
            <w:tcW w:w="6181" w:type="dxa"/>
            <w:vAlign w:val="center"/>
          </w:tcPr>
          <w:p w14:paraId="0ED80371">
            <w:pPr>
              <w:spacing w:line="360" w:lineRule="auto"/>
              <w:jc w:val="center"/>
              <w:rPr>
                <w:color w:val="000000"/>
              </w:rPr>
            </w:pPr>
            <w:r>
              <w:rPr>
                <w:color w:val="000000"/>
              </w:rPr>
              <w:t>评标细则</w:t>
            </w:r>
          </w:p>
        </w:tc>
        <w:tc>
          <w:tcPr>
            <w:tcW w:w="775" w:type="dxa"/>
            <w:vAlign w:val="center"/>
          </w:tcPr>
          <w:p w14:paraId="171CB191">
            <w:pPr>
              <w:spacing w:line="360" w:lineRule="auto"/>
              <w:jc w:val="center"/>
              <w:rPr>
                <w:color w:val="000000"/>
              </w:rPr>
            </w:pPr>
            <w:r>
              <w:rPr>
                <w:color w:val="000000"/>
              </w:rPr>
              <w:t>分值</w:t>
            </w:r>
          </w:p>
        </w:tc>
      </w:tr>
      <w:tr w14:paraId="00FF3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4404A77">
            <w:pPr>
              <w:spacing w:line="360" w:lineRule="auto"/>
              <w:jc w:val="center"/>
              <w:rPr>
                <w:color w:val="000000"/>
              </w:rPr>
            </w:pPr>
            <w:r>
              <w:rPr>
                <w:rFonts w:hint="eastAsia"/>
                <w:color w:val="000000"/>
              </w:rPr>
              <w:t>1</w:t>
            </w:r>
          </w:p>
        </w:tc>
        <w:tc>
          <w:tcPr>
            <w:tcW w:w="1445" w:type="dxa"/>
            <w:vAlign w:val="center"/>
          </w:tcPr>
          <w:p w14:paraId="4015C630">
            <w:pPr>
              <w:spacing w:line="360" w:lineRule="auto"/>
              <w:jc w:val="left"/>
              <w:rPr>
                <w:color w:val="000000"/>
              </w:rPr>
            </w:pPr>
            <w:r>
              <w:rPr>
                <w:color w:val="000000"/>
              </w:rPr>
              <w:t>企业情况</w:t>
            </w:r>
          </w:p>
        </w:tc>
        <w:tc>
          <w:tcPr>
            <w:tcW w:w="6181" w:type="dxa"/>
            <w:vAlign w:val="center"/>
          </w:tcPr>
          <w:p w14:paraId="458326C1">
            <w:pPr>
              <w:spacing w:line="360" w:lineRule="auto"/>
              <w:jc w:val="left"/>
              <w:rPr>
                <w:color w:val="000000"/>
              </w:rPr>
            </w:pPr>
            <w:r>
              <w:rPr>
                <w:color w:val="000000"/>
              </w:rPr>
              <w:t>供应商</w:t>
            </w:r>
            <w:r>
              <w:rPr>
                <w:rFonts w:hint="eastAsia"/>
                <w:color w:val="000000"/>
              </w:rPr>
              <w:t>的企业介绍，整体情况0-5分</w:t>
            </w:r>
          </w:p>
        </w:tc>
        <w:tc>
          <w:tcPr>
            <w:tcW w:w="775" w:type="dxa"/>
            <w:vAlign w:val="center"/>
          </w:tcPr>
          <w:p w14:paraId="119E6D1D">
            <w:pPr>
              <w:spacing w:line="360" w:lineRule="auto"/>
              <w:jc w:val="center"/>
              <w:rPr>
                <w:color w:val="000000"/>
              </w:rPr>
            </w:pPr>
            <w:r>
              <w:rPr>
                <w:rFonts w:hint="eastAsia"/>
                <w:color w:val="000000"/>
              </w:rPr>
              <w:t>5</w:t>
            </w:r>
          </w:p>
        </w:tc>
      </w:tr>
      <w:tr w14:paraId="0B1B7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8D3CC56">
            <w:pPr>
              <w:spacing w:line="360" w:lineRule="auto"/>
              <w:jc w:val="center"/>
              <w:rPr>
                <w:color w:val="000000"/>
              </w:rPr>
            </w:pPr>
            <w:r>
              <w:rPr>
                <w:rFonts w:hint="eastAsia"/>
                <w:color w:val="000000"/>
              </w:rPr>
              <w:t>2</w:t>
            </w:r>
          </w:p>
        </w:tc>
        <w:tc>
          <w:tcPr>
            <w:tcW w:w="1445" w:type="dxa"/>
            <w:vAlign w:val="center"/>
          </w:tcPr>
          <w:p w14:paraId="0740ADBC">
            <w:pPr>
              <w:spacing w:line="360" w:lineRule="auto"/>
              <w:jc w:val="left"/>
              <w:rPr>
                <w:color w:val="000000"/>
              </w:rPr>
            </w:pPr>
            <w:r>
              <w:rPr>
                <w:color w:val="000000"/>
              </w:rPr>
              <w:t>业绩</w:t>
            </w:r>
          </w:p>
        </w:tc>
        <w:tc>
          <w:tcPr>
            <w:tcW w:w="6181" w:type="dxa"/>
            <w:vAlign w:val="center"/>
          </w:tcPr>
          <w:p w14:paraId="1156AE1A">
            <w:pPr>
              <w:spacing w:line="360" w:lineRule="auto"/>
              <w:jc w:val="left"/>
              <w:rPr>
                <w:color w:val="000000"/>
              </w:rPr>
            </w:pPr>
            <w:r>
              <w:rPr>
                <w:color w:val="000000"/>
              </w:rPr>
              <w:t>供应商</w:t>
            </w:r>
            <w:r>
              <w:rPr>
                <w:rFonts w:hint="eastAsia"/>
                <w:color w:val="000000"/>
              </w:rPr>
              <w:t>类似充电宝服务的</w:t>
            </w:r>
            <w:r>
              <w:rPr>
                <w:color w:val="000000"/>
              </w:rPr>
              <w:t>业绩：供应商提供1个</w:t>
            </w:r>
            <w:r>
              <w:rPr>
                <w:rFonts w:hint="eastAsia"/>
                <w:color w:val="000000"/>
              </w:rPr>
              <w:t>不同用户的业绩</w:t>
            </w:r>
            <w:r>
              <w:rPr>
                <w:color w:val="000000"/>
              </w:rPr>
              <w:t>得</w:t>
            </w:r>
            <w:r>
              <w:rPr>
                <w:rFonts w:hint="eastAsia"/>
                <w:color w:val="000000"/>
              </w:rPr>
              <w:t>2</w:t>
            </w:r>
            <w:r>
              <w:rPr>
                <w:color w:val="000000"/>
              </w:rPr>
              <w:t>分，满分10分</w:t>
            </w:r>
            <w:r>
              <w:rPr>
                <w:rFonts w:hint="eastAsia"/>
                <w:color w:val="000000"/>
              </w:rPr>
              <w:t>。</w:t>
            </w:r>
          </w:p>
        </w:tc>
        <w:tc>
          <w:tcPr>
            <w:tcW w:w="775" w:type="dxa"/>
            <w:vAlign w:val="center"/>
          </w:tcPr>
          <w:p w14:paraId="102DEF29">
            <w:pPr>
              <w:spacing w:line="360" w:lineRule="auto"/>
              <w:jc w:val="center"/>
              <w:rPr>
                <w:color w:val="000000"/>
              </w:rPr>
            </w:pPr>
            <w:r>
              <w:rPr>
                <w:color w:val="000000"/>
              </w:rPr>
              <w:t>10</w:t>
            </w:r>
          </w:p>
        </w:tc>
      </w:tr>
      <w:tr w14:paraId="54FF3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4116835">
            <w:pPr>
              <w:spacing w:line="360" w:lineRule="auto"/>
              <w:jc w:val="center"/>
              <w:rPr>
                <w:color w:val="000000"/>
              </w:rPr>
            </w:pPr>
            <w:r>
              <w:rPr>
                <w:rFonts w:hint="eastAsia"/>
                <w:color w:val="000000"/>
              </w:rPr>
              <w:t>3</w:t>
            </w:r>
          </w:p>
        </w:tc>
        <w:tc>
          <w:tcPr>
            <w:tcW w:w="1445" w:type="dxa"/>
            <w:vAlign w:val="center"/>
          </w:tcPr>
          <w:p w14:paraId="032C3A34">
            <w:pPr>
              <w:spacing w:line="360" w:lineRule="auto"/>
              <w:jc w:val="left"/>
              <w:rPr>
                <w:color w:val="000000"/>
              </w:rPr>
            </w:pPr>
            <w:r>
              <w:rPr>
                <w:color w:val="000000"/>
              </w:rPr>
              <w:t>管理水平</w:t>
            </w:r>
          </w:p>
        </w:tc>
        <w:tc>
          <w:tcPr>
            <w:tcW w:w="6181" w:type="dxa"/>
            <w:vAlign w:val="center"/>
          </w:tcPr>
          <w:p w14:paraId="3CB5C7E0">
            <w:pPr>
              <w:spacing w:line="360" w:lineRule="auto"/>
              <w:jc w:val="left"/>
              <w:rPr>
                <w:color w:val="000000"/>
              </w:rPr>
            </w:pPr>
            <w:r>
              <w:rPr>
                <w:color w:val="000000"/>
              </w:rPr>
              <w:t>管理组织的架构、规范和管理制度，质量管理体系，软硬件的综合水平情况</w:t>
            </w:r>
            <w:r>
              <w:rPr>
                <w:rFonts w:hint="eastAsia"/>
                <w:color w:val="000000"/>
              </w:rPr>
              <w:t>。</w:t>
            </w:r>
            <w:r>
              <w:rPr>
                <w:color w:val="000000"/>
              </w:rPr>
              <w:t>0-</w:t>
            </w:r>
            <w:r>
              <w:rPr>
                <w:rFonts w:hint="eastAsia"/>
                <w:color w:val="000000"/>
              </w:rPr>
              <w:t>5</w:t>
            </w:r>
            <w:r>
              <w:rPr>
                <w:color w:val="000000"/>
              </w:rPr>
              <w:t>分</w:t>
            </w:r>
          </w:p>
        </w:tc>
        <w:tc>
          <w:tcPr>
            <w:tcW w:w="775" w:type="dxa"/>
            <w:vAlign w:val="center"/>
          </w:tcPr>
          <w:p w14:paraId="78D5E7BE">
            <w:pPr>
              <w:spacing w:line="360" w:lineRule="auto"/>
              <w:jc w:val="center"/>
              <w:rPr>
                <w:color w:val="000000"/>
              </w:rPr>
            </w:pPr>
            <w:r>
              <w:rPr>
                <w:rFonts w:hint="eastAsia"/>
                <w:color w:val="000000"/>
              </w:rPr>
              <w:t>5</w:t>
            </w:r>
          </w:p>
        </w:tc>
      </w:tr>
      <w:tr w14:paraId="2E53CE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282DD2A">
            <w:pPr>
              <w:spacing w:line="360" w:lineRule="auto"/>
              <w:jc w:val="center"/>
              <w:rPr>
                <w:color w:val="000000"/>
              </w:rPr>
            </w:pPr>
            <w:r>
              <w:rPr>
                <w:rFonts w:hint="eastAsia"/>
                <w:color w:val="000000"/>
              </w:rPr>
              <w:t>4</w:t>
            </w:r>
          </w:p>
        </w:tc>
        <w:tc>
          <w:tcPr>
            <w:tcW w:w="1445" w:type="dxa"/>
            <w:vAlign w:val="center"/>
          </w:tcPr>
          <w:p w14:paraId="0A366763">
            <w:pPr>
              <w:spacing w:line="360" w:lineRule="auto"/>
              <w:jc w:val="left"/>
              <w:rPr>
                <w:color w:val="000000"/>
              </w:rPr>
            </w:pPr>
            <w:r>
              <w:rPr>
                <w:rFonts w:hint="eastAsia"/>
                <w:color w:val="000000"/>
              </w:rPr>
              <w:t>设备配置</w:t>
            </w:r>
          </w:p>
        </w:tc>
        <w:tc>
          <w:tcPr>
            <w:tcW w:w="6181" w:type="dxa"/>
            <w:vAlign w:val="center"/>
          </w:tcPr>
          <w:p w14:paraId="3C1A4F69">
            <w:pPr>
              <w:spacing w:line="360" w:lineRule="auto"/>
              <w:jc w:val="left"/>
              <w:rPr>
                <w:color w:val="000000"/>
              </w:rPr>
            </w:pPr>
            <w:r>
              <w:rPr>
                <w:rFonts w:hint="eastAsia"/>
                <w:color w:val="000000"/>
              </w:rPr>
              <w:t>根据更换的充电宝及相关配套货物的性能，品牌，质量进行评审，</w:t>
            </w:r>
            <w:r>
              <w:rPr>
                <w:color w:val="000000"/>
              </w:rPr>
              <w:t>0-</w:t>
            </w:r>
            <w:r>
              <w:rPr>
                <w:rFonts w:hint="eastAsia"/>
                <w:color w:val="000000"/>
              </w:rPr>
              <w:t>10</w:t>
            </w:r>
            <w:r>
              <w:rPr>
                <w:color w:val="000000"/>
              </w:rPr>
              <w:t>分</w:t>
            </w:r>
          </w:p>
        </w:tc>
        <w:tc>
          <w:tcPr>
            <w:tcW w:w="775" w:type="dxa"/>
            <w:vAlign w:val="center"/>
          </w:tcPr>
          <w:p w14:paraId="76E4CCDE">
            <w:pPr>
              <w:spacing w:line="360" w:lineRule="auto"/>
              <w:jc w:val="center"/>
              <w:rPr>
                <w:color w:val="000000"/>
              </w:rPr>
            </w:pPr>
            <w:r>
              <w:rPr>
                <w:rFonts w:hint="eastAsia"/>
                <w:color w:val="000000"/>
              </w:rPr>
              <w:t>10</w:t>
            </w:r>
          </w:p>
        </w:tc>
      </w:tr>
      <w:tr w14:paraId="129FEF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14A20CF">
            <w:pPr>
              <w:spacing w:line="360" w:lineRule="auto"/>
              <w:jc w:val="center"/>
              <w:rPr>
                <w:color w:val="000000"/>
              </w:rPr>
            </w:pPr>
            <w:r>
              <w:rPr>
                <w:rFonts w:hint="eastAsia"/>
                <w:color w:val="000000"/>
              </w:rPr>
              <w:t>5</w:t>
            </w:r>
          </w:p>
        </w:tc>
        <w:tc>
          <w:tcPr>
            <w:tcW w:w="1445" w:type="dxa"/>
            <w:vAlign w:val="center"/>
          </w:tcPr>
          <w:p w14:paraId="657F1F78">
            <w:pPr>
              <w:spacing w:line="360" w:lineRule="auto"/>
              <w:jc w:val="left"/>
              <w:rPr>
                <w:color w:val="000000"/>
              </w:rPr>
            </w:pPr>
            <w:r>
              <w:rPr>
                <w:rFonts w:hint="eastAsia"/>
                <w:color w:val="000000"/>
              </w:rPr>
              <w:t>日常运营方案</w:t>
            </w:r>
          </w:p>
        </w:tc>
        <w:tc>
          <w:tcPr>
            <w:tcW w:w="6181" w:type="dxa"/>
            <w:vAlign w:val="center"/>
          </w:tcPr>
          <w:p w14:paraId="62A5086C">
            <w:pPr>
              <w:spacing w:line="360" w:lineRule="auto"/>
              <w:jc w:val="left"/>
              <w:rPr>
                <w:color w:val="000000"/>
              </w:rPr>
            </w:pPr>
            <w:r>
              <w:rPr>
                <w:rFonts w:hint="eastAsia"/>
                <w:color w:val="000000"/>
              </w:rPr>
              <w:t>根据供应商对本项目日常的运营方案进行评审，</w:t>
            </w:r>
            <w:r>
              <w:rPr>
                <w:color w:val="000000"/>
              </w:rPr>
              <w:t>0-</w:t>
            </w:r>
            <w:r>
              <w:rPr>
                <w:rFonts w:hint="eastAsia"/>
                <w:color w:val="000000"/>
              </w:rPr>
              <w:t>5</w:t>
            </w:r>
            <w:r>
              <w:rPr>
                <w:color w:val="000000"/>
              </w:rPr>
              <w:t>分</w:t>
            </w:r>
          </w:p>
        </w:tc>
        <w:tc>
          <w:tcPr>
            <w:tcW w:w="775" w:type="dxa"/>
            <w:vAlign w:val="center"/>
          </w:tcPr>
          <w:p w14:paraId="63C93044">
            <w:pPr>
              <w:spacing w:line="360" w:lineRule="auto"/>
              <w:jc w:val="center"/>
              <w:rPr>
                <w:color w:val="000000"/>
              </w:rPr>
            </w:pPr>
            <w:r>
              <w:rPr>
                <w:rFonts w:hint="eastAsia"/>
                <w:color w:val="000000"/>
              </w:rPr>
              <w:t>5</w:t>
            </w:r>
          </w:p>
        </w:tc>
      </w:tr>
      <w:tr w14:paraId="46D55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1FBEFF6">
            <w:pPr>
              <w:spacing w:line="360" w:lineRule="auto"/>
              <w:jc w:val="center"/>
              <w:rPr>
                <w:color w:val="000000"/>
              </w:rPr>
            </w:pPr>
            <w:r>
              <w:rPr>
                <w:rFonts w:hint="eastAsia"/>
                <w:color w:val="000000"/>
              </w:rPr>
              <w:t>6</w:t>
            </w:r>
          </w:p>
        </w:tc>
        <w:tc>
          <w:tcPr>
            <w:tcW w:w="1445" w:type="dxa"/>
            <w:vAlign w:val="center"/>
          </w:tcPr>
          <w:p w14:paraId="4CB0650E">
            <w:pPr>
              <w:spacing w:line="360" w:lineRule="auto"/>
              <w:jc w:val="left"/>
              <w:rPr>
                <w:color w:val="000000"/>
              </w:rPr>
            </w:pPr>
            <w:r>
              <w:rPr>
                <w:color w:val="000000"/>
              </w:rPr>
              <w:t>配套服务</w:t>
            </w:r>
          </w:p>
        </w:tc>
        <w:tc>
          <w:tcPr>
            <w:tcW w:w="6181" w:type="dxa"/>
            <w:vAlign w:val="center"/>
          </w:tcPr>
          <w:p w14:paraId="6B4B254A">
            <w:pPr>
              <w:spacing w:line="360" w:lineRule="auto"/>
              <w:jc w:val="left"/>
              <w:rPr>
                <w:color w:val="000000"/>
              </w:rPr>
            </w:pPr>
            <w:r>
              <w:rPr>
                <w:rFonts w:hint="eastAsia"/>
                <w:color w:val="000000"/>
              </w:rPr>
              <w:t>充电宝服务的其他相关配套服务方案</w:t>
            </w:r>
            <w:r>
              <w:rPr>
                <w:color w:val="000000"/>
              </w:rPr>
              <w:t>，0-</w:t>
            </w:r>
            <w:r>
              <w:rPr>
                <w:rFonts w:hint="eastAsia"/>
                <w:color w:val="000000"/>
              </w:rPr>
              <w:t>5</w:t>
            </w:r>
            <w:r>
              <w:rPr>
                <w:color w:val="000000"/>
              </w:rPr>
              <w:t>分</w:t>
            </w:r>
          </w:p>
        </w:tc>
        <w:tc>
          <w:tcPr>
            <w:tcW w:w="775" w:type="dxa"/>
            <w:vAlign w:val="center"/>
          </w:tcPr>
          <w:p w14:paraId="35BF6266">
            <w:pPr>
              <w:spacing w:line="360" w:lineRule="auto"/>
              <w:jc w:val="center"/>
              <w:rPr>
                <w:color w:val="000000"/>
              </w:rPr>
            </w:pPr>
            <w:r>
              <w:rPr>
                <w:rFonts w:hint="eastAsia"/>
                <w:color w:val="000000"/>
              </w:rPr>
              <w:t>5</w:t>
            </w:r>
          </w:p>
        </w:tc>
      </w:tr>
      <w:tr w14:paraId="40122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4B8D967">
            <w:pPr>
              <w:spacing w:line="360" w:lineRule="auto"/>
              <w:jc w:val="center"/>
              <w:rPr>
                <w:color w:val="000000"/>
              </w:rPr>
            </w:pPr>
            <w:r>
              <w:rPr>
                <w:rFonts w:hint="eastAsia"/>
                <w:color w:val="000000"/>
              </w:rPr>
              <w:t>7</w:t>
            </w:r>
          </w:p>
        </w:tc>
        <w:tc>
          <w:tcPr>
            <w:tcW w:w="1445" w:type="dxa"/>
            <w:vAlign w:val="center"/>
          </w:tcPr>
          <w:p w14:paraId="6182E03E">
            <w:pPr>
              <w:spacing w:line="360" w:lineRule="auto"/>
              <w:jc w:val="left"/>
              <w:rPr>
                <w:color w:val="000000"/>
              </w:rPr>
            </w:pPr>
            <w:r>
              <w:rPr>
                <w:rFonts w:hint="eastAsia"/>
                <w:color w:val="000000"/>
              </w:rPr>
              <w:t>应急方案</w:t>
            </w:r>
          </w:p>
        </w:tc>
        <w:tc>
          <w:tcPr>
            <w:tcW w:w="6181" w:type="dxa"/>
            <w:vAlign w:val="center"/>
          </w:tcPr>
          <w:p w14:paraId="10EC6FB5">
            <w:pPr>
              <w:spacing w:line="360" w:lineRule="auto"/>
              <w:jc w:val="left"/>
              <w:rPr>
                <w:color w:val="000000"/>
              </w:rPr>
            </w:pPr>
            <w:r>
              <w:rPr>
                <w:rFonts w:hint="eastAsia"/>
                <w:color w:val="000000"/>
              </w:rPr>
              <w:t>出现特殊情况时的应急预案</w:t>
            </w:r>
            <w:r>
              <w:rPr>
                <w:rFonts w:hint="eastAsia"/>
                <w:color w:val="000000"/>
                <w:lang w:eastAsia="zh-CN"/>
              </w:rPr>
              <w:t>，</w:t>
            </w:r>
            <w:r>
              <w:rPr>
                <w:rFonts w:hint="eastAsia"/>
                <w:color w:val="000000"/>
                <w:lang w:val="en-US" w:eastAsia="zh-CN"/>
              </w:rPr>
              <w:t>响应时间等</w:t>
            </w:r>
            <w:r>
              <w:rPr>
                <w:rFonts w:hint="eastAsia"/>
                <w:color w:val="000000"/>
              </w:rPr>
              <w:t>，0-5分</w:t>
            </w:r>
          </w:p>
        </w:tc>
        <w:tc>
          <w:tcPr>
            <w:tcW w:w="775" w:type="dxa"/>
            <w:vAlign w:val="center"/>
          </w:tcPr>
          <w:p w14:paraId="46F38C61">
            <w:pPr>
              <w:spacing w:line="360" w:lineRule="auto"/>
              <w:jc w:val="center"/>
              <w:rPr>
                <w:color w:val="000000"/>
              </w:rPr>
            </w:pPr>
            <w:r>
              <w:rPr>
                <w:rFonts w:hint="eastAsia"/>
                <w:color w:val="000000"/>
              </w:rPr>
              <w:t>5</w:t>
            </w:r>
          </w:p>
        </w:tc>
      </w:tr>
      <w:tr w14:paraId="2B50A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92ADF3B">
            <w:pPr>
              <w:spacing w:line="360" w:lineRule="auto"/>
              <w:jc w:val="center"/>
              <w:rPr>
                <w:color w:val="000000"/>
              </w:rPr>
            </w:pPr>
            <w:r>
              <w:rPr>
                <w:rFonts w:hint="eastAsia"/>
                <w:color w:val="000000"/>
              </w:rPr>
              <w:t>8</w:t>
            </w:r>
          </w:p>
        </w:tc>
        <w:tc>
          <w:tcPr>
            <w:tcW w:w="1445" w:type="dxa"/>
            <w:vAlign w:val="center"/>
          </w:tcPr>
          <w:p w14:paraId="6F37F49B">
            <w:pPr>
              <w:spacing w:line="360" w:lineRule="auto"/>
              <w:jc w:val="left"/>
              <w:rPr>
                <w:color w:val="000000"/>
              </w:rPr>
            </w:pPr>
            <w:r>
              <w:rPr>
                <w:color w:val="000000"/>
              </w:rPr>
              <w:t>服务人员</w:t>
            </w:r>
          </w:p>
        </w:tc>
        <w:tc>
          <w:tcPr>
            <w:tcW w:w="6181" w:type="dxa"/>
            <w:vAlign w:val="center"/>
          </w:tcPr>
          <w:p w14:paraId="2F90E0CD">
            <w:pPr>
              <w:spacing w:line="360" w:lineRule="auto"/>
              <w:jc w:val="left"/>
              <w:rPr>
                <w:color w:val="000000"/>
              </w:rPr>
            </w:pPr>
            <w:r>
              <w:rPr>
                <w:color w:val="000000"/>
              </w:rPr>
              <w:t>项目负责人</w:t>
            </w:r>
            <w:r>
              <w:rPr>
                <w:rFonts w:hint="eastAsia"/>
                <w:color w:val="000000"/>
              </w:rPr>
              <w:t>和</w:t>
            </w:r>
            <w:r>
              <w:rPr>
                <w:color w:val="000000"/>
              </w:rPr>
              <w:t>其他项目工作人员的数量，分工，工作经验，0-</w:t>
            </w:r>
            <w:r>
              <w:rPr>
                <w:rFonts w:hint="eastAsia"/>
                <w:color w:val="000000"/>
              </w:rPr>
              <w:t>5</w:t>
            </w:r>
            <w:r>
              <w:rPr>
                <w:color w:val="000000"/>
              </w:rPr>
              <w:t>分</w:t>
            </w:r>
          </w:p>
        </w:tc>
        <w:tc>
          <w:tcPr>
            <w:tcW w:w="775" w:type="dxa"/>
            <w:vAlign w:val="center"/>
          </w:tcPr>
          <w:p w14:paraId="6F2224CC">
            <w:pPr>
              <w:spacing w:line="360" w:lineRule="auto"/>
              <w:jc w:val="center"/>
              <w:rPr>
                <w:color w:val="000000"/>
              </w:rPr>
            </w:pPr>
            <w:r>
              <w:rPr>
                <w:rFonts w:hint="eastAsia"/>
                <w:color w:val="000000"/>
              </w:rPr>
              <w:t>5</w:t>
            </w:r>
          </w:p>
        </w:tc>
      </w:tr>
      <w:tr w14:paraId="7E7629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BA5E9B9">
            <w:pPr>
              <w:spacing w:line="360" w:lineRule="auto"/>
              <w:jc w:val="center"/>
              <w:rPr>
                <w:color w:val="000000"/>
              </w:rPr>
            </w:pPr>
            <w:r>
              <w:rPr>
                <w:rFonts w:hint="eastAsia"/>
                <w:color w:val="000000"/>
              </w:rPr>
              <w:t>9</w:t>
            </w:r>
          </w:p>
        </w:tc>
        <w:tc>
          <w:tcPr>
            <w:tcW w:w="1445" w:type="dxa"/>
            <w:vAlign w:val="center"/>
          </w:tcPr>
          <w:p w14:paraId="12A59486">
            <w:pPr>
              <w:spacing w:line="360" w:lineRule="auto"/>
              <w:jc w:val="left"/>
              <w:rPr>
                <w:color w:val="000000"/>
              </w:rPr>
            </w:pPr>
            <w:r>
              <w:rPr>
                <w:color w:val="000000"/>
              </w:rPr>
              <w:t>合理化建议</w:t>
            </w:r>
          </w:p>
        </w:tc>
        <w:tc>
          <w:tcPr>
            <w:tcW w:w="6181" w:type="dxa"/>
            <w:vAlign w:val="center"/>
          </w:tcPr>
          <w:p w14:paraId="4E081303">
            <w:pPr>
              <w:spacing w:line="360" w:lineRule="auto"/>
              <w:rPr>
                <w:color w:val="000000"/>
              </w:rPr>
            </w:pPr>
            <w:r>
              <w:rPr>
                <w:color w:val="000000"/>
              </w:rPr>
              <w:t>根据供应商提供的合理化建议（体现出对本项目各方面有充分了解和有价值的实施措施）进行评议，0-</w:t>
            </w:r>
            <w:r>
              <w:rPr>
                <w:rFonts w:hint="eastAsia"/>
                <w:color w:val="000000"/>
              </w:rPr>
              <w:t>5</w:t>
            </w:r>
            <w:r>
              <w:rPr>
                <w:color w:val="000000"/>
              </w:rPr>
              <w:t>分</w:t>
            </w:r>
          </w:p>
        </w:tc>
        <w:tc>
          <w:tcPr>
            <w:tcW w:w="775" w:type="dxa"/>
            <w:vAlign w:val="center"/>
          </w:tcPr>
          <w:p w14:paraId="0848C5D4">
            <w:pPr>
              <w:spacing w:line="360" w:lineRule="auto"/>
              <w:jc w:val="center"/>
              <w:rPr>
                <w:color w:val="000000"/>
              </w:rPr>
            </w:pPr>
            <w:r>
              <w:rPr>
                <w:rFonts w:hint="eastAsia"/>
                <w:color w:val="000000"/>
              </w:rPr>
              <w:t>5</w:t>
            </w:r>
          </w:p>
        </w:tc>
      </w:tr>
      <w:tr w14:paraId="35DC8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2E87B5B">
            <w:pPr>
              <w:spacing w:line="360" w:lineRule="auto"/>
              <w:jc w:val="center"/>
              <w:rPr>
                <w:color w:val="000000"/>
              </w:rPr>
            </w:pPr>
            <w:r>
              <w:rPr>
                <w:rFonts w:hint="eastAsia"/>
                <w:color w:val="000000"/>
              </w:rPr>
              <w:t>10</w:t>
            </w:r>
          </w:p>
        </w:tc>
        <w:tc>
          <w:tcPr>
            <w:tcW w:w="1445" w:type="dxa"/>
            <w:vAlign w:val="center"/>
          </w:tcPr>
          <w:p w14:paraId="0453E7EB">
            <w:pPr>
              <w:spacing w:line="360" w:lineRule="auto"/>
              <w:jc w:val="left"/>
              <w:rPr>
                <w:color w:val="000000"/>
              </w:rPr>
            </w:pPr>
            <w:r>
              <w:rPr>
                <w:color w:val="000000"/>
              </w:rPr>
              <w:t>增值服务</w:t>
            </w:r>
          </w:p>
        </w:tc>
        <w:tc>
          <w:tcPr>
            <w:tcW w:w="6181" w:type="dxa"/>
            <w:vAlign w:val="center"/>
          </w:tcPr>
          <w:p w14:paraId="745008AF">
            <w:pPr>
              <w:spacing w:line="360" w:lineRule="auto"/>
              <w:rPr>
                <w:color w:val="000000"/>
              </w:rPr>
            </w:pPr>
            <w:r>
              <w:rPr>
                <w:color w:val="000000"/>
              </w:rPr>
              <w:t>额外增加的服务方案以及服务承诺的可行性、完整性以及服务承诺等情况，0-</w:t>
            </w:r>
            <w:r>
              <w:rPr>
                <w:rFonts w:hint="eastAsia"/>
                <w:color w:val="000000"/>
              </w:rPr>
              <w:t>5</w:t>
            </w:r>
            <w:r>
              <w:rPr>
                <w:color w:val="000000"/>
              </w:rPr>
              <w:t>分</w:t>
            </w:r>
          </w:p>
        </w:tc>
        <w:tc>
          <w:tcPr>
            <w:tcW w:w="775" w:type="dxa"/>
            <w:vAlign w:val="center"/>
          </w:tcPr>
          <w:p w14:paraId="27883926">
            <w:pPr>
              <w:spacing w:line="360" w:lineRule="auto"/>
              <w:jc w:val="center"/>
              <w:rPr>
                <w:color w:val="000000"/>
              </w:rPr>
            </w:pPr>
            <w:r>
              <w:rPr>
                <w:rFonts w:hint="eastAsia"/>
                <w:color w:val="000000"/>
              </w:rPr>
              <w:t>5</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40</w:t>
      </w:r>
      <w:r>
        <w:rPr>
          <w:rFonts w:hint="eastAsia"/>
          <w:b/>
          <w:sz w:val="24"/>
          <w:szCs w:val="24"/>
        </w:rPr>
        <w:t>分）</w:t>
      </w:r>
    </w:p>
    <w:bookmarkEnd w:id="14"/>
    <w:p w14:paraId="0E59C43A">
      <w:pPr>
        <w:widowControl/>
        <w:snapToGrid w:val="0"/>
        <w:spacing w:line="360" w:lineRule="auto"/>
        <w:ind w:firstLine="420"/>
        <w:rPr>
          <w:sz w:val="24"/>
          <w:szCs w:val="24"/>
        </w:rPr>
      </w:pPr>
      <w:r>
        <w:rPr>
          <w:rFonts w:hint="eastAsia"/>
          <w:sz w:val="24"/>
          <w:szCs w:val="24"/>
        </w:rPr>
        <w:t>价格评分将在有效供应商范围内进行，最高得40分，最低得0分（小数点后保留二位小数，第三位四舍五入）。满足采购文件要求且投标价格最高的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4689D86E">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投标报价</w:t>
      </w:r>
      <w:r>
        <w:rPr>
          <w:sz w:val="24"/>
          <w:szCs w:val="24"/>
        </w:rPr>
        <w:t>/</w:t>
      </w:r>
      <w:r>
        <w:rPr>
          <w:rFonts w:hint="eastAsia"/>
          <w:b/>
          <w:sz w:val="24"/>
          <w:szCs w:val="24"/>
          <w:u w:val="thick"/>
        </w:rPr>
        <w:t>评标基准价</w:t>
      </w:r>
      <w:r>
        <w:rPr>
          <w:rFonts w:hint="eastAsia"/>
          <w:sz w:val="24"/>
          <w:szCs w:val="24"/>
        </w:rPr>
        <w:t>）×4</w:t>
      </w:r>
      <w:r>
        <w:rPr>
          <w:sz w:val="24"/>
          <w:szCs w:val="24"/>
        </w:rPr>
        <w:t>0%×100</w:t>
      </w:r>
    </w:p>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2"/>
    <w:bookmarkEnd w:id="13"/>
    <w:p w14:paraId="242EDBD5">
      <w:pPr>
        <w:pStyle w:val="2"/>
        <w:rPr>
          <w:rFonts w:hint="eastAsia" w:eastAsia="宋体"/>
          <w:lang w:eastAsia="zh-CN"/>
        </w:rPr>
      </w:pPr>
      <w:bookmarkStart w:id="15" w:name="_Toc82338245"/>
      <w:bookmarkStart w:id="16" w:name="_Toc495317672"/>
      <w:bookmarkStart w:id="17" w:name="_Toc211745569"/>
      <w:bookmarkStart w:id="18" w:name="_Toc82873328"/>
      <w:r>
        <w:br w:type="page"/>
      </w:r>
      <w:r>
        <w:t>第四章 采购</w:t>
      </w:r>
      <w:bookmarkEnd w:id="15"/>
      <w:bookmarkEnd w:id="16"/>
      <w:bookmarkEnd w:id="17"/>
      <w:bookmarkEnd w:id="18"/>
      <w:r>
        <w:t>合同主要条款</w:t>
      </w:r>
    </w:p>
    <w:p w14:paraId="34B438DF">
      <w:pPr>
        <w:pStyle w:val="15"/>
        <w:snapToGrid w:val="0"/>
        <w:spacing w:line="360" w:lineRule="auto"/>
        <w:ind w:right="1413" w:rightChars="673"/>
        <w:jc w:val="right"/>
        <w:rPr>
          <w:rFonts w:ascii="Times New Roman" w:hAnsi="Times New Roman"/>
          <w:sz w:val="24"/>
          <w:szCs w:val="24"/>
        </w:rPr>
      </w:pPr>
      <w:bookmarkStart w:id="19" w:name="_Toc437953149"/>
      <w:bookmarkStart w:id="20" w:name="_Toc336683578"/>
      <w:bookmarkStart w:id="21"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1CBA68EB">
      <w:pPr>
        <w:pStyle w:val="11"/>
        <w:tabs>
          <w:tab w:val="left" w:pos="0"/>
        </w:tabs>
        <w:spacing w:line="360" w:lineRule="auto"/>
        <w:ind w:firstLine="420" w:firstLineChars="200"/>
      </w:pPr>
      <w:r>
        <w:rPr>
          <w:rFonts w:hint="eastAsia"/>
        </w:rPr>
        <w:t>根据《中华人民共和国民法典》等法律法规，甲乙双方本着平等、互利、诚实信用的原则，签订</w:t>
      </w:r>
      <w:r>
        <w:rPr>
          <w:rFonts w:hint="eastAsia"/>
          <w:lang w:eastAsia="zh-CN"/>
        </w:rPr>
        <w:t>浙江省人民医院</w:t>
      </w:r>
      <w:r>
        <w:rPr>
          <w:rFonts w:hint="eastAsia"/>
          <w:lang w:val="en-US" w:eastAsia="zh-CN"/>
        </w:rPr>
        <w:t>富阳</w:t>
      </w:r>
      <w:r>
        <w:rPr>
          <w:rFonts w:hint="eastAsia"/>
          <w:lang w:eastAsia="zh-CN"/>
        </w:rPr>
        <w:t>院区</w:t>
      </w:r>
      <w:r>
        <w:rPr>
          <w:rFonts w:hint="eastAsia"/>
          <w:lang w:val="en-US" w:eastAsia="zh-CN"/>
        </w:rPr>
        <w:t>及江北院区</w:t>
      </w:r>
      <w:r>
        <w:rPr>
          <w:rFonts w:hint="eastAsia"/>
          <w:lang w:eastAsia="zh-CN"/>
        </w:rPr>
        <w:t>共享充电宝服务项目</w:t>
      </w:r>
      <w:r>
        <w:rPr>
          <w:rFonts w:hint="eastAsia"/>
        </w:rPr>
        <w:t>合同如下，以便共同遵守：</w:t>
      </w:r>
    </w:p>
    <w:p w14:paraId="67CF483C">
      <w:pPr>
        <w:pStyle w:val="3"/>
        <w:tabs>
          <w:tab w:val="left" w:pos="0"/>
        </w:tabs>
        <w:rPr>
          <w:rFonts w:hint="eastAsia"/>
        </w:rPr>
      </w:pPr>
      <w:r>
        <w:rPr>
          <w:rFonts w:hint="eastAsia"/>
        </w:rPr>
        <w:t>一、合同内容</w:t>
      </w:r>
    </w:p>
    <w:p w14:paraId="61D33A5A">
      <w:pPr>
        <w:pStyle w:val="11"/>
        <w:tabs>
          <w:tab w:val="left" w:pos="0"/>
        </w:tabs>
        <w:spacing w:line="360" w:lineRule="auto"/>
        <w:ind w:firstLine="420" w:firstLineChars="200"/>
      </w:pPr>
      <w:r>
        <w:rPr>
          <w:rFonts w:hint="eastAsia"/>
        </w:rPr>
        <w:t>1.乙方免费为甲方提供共享充电箱和共享充电宝设备（以下统称：充电设备），并协助甲方完成设备安装和上线。</w:t>
      </w:r>
    </w:p>
    <w:p w14:paraId="443F6574">
      <w:pPr>
        <w:pStyle w:val="11"/>
        <w:tabs>
          <w:tab w:val="left" w:pos="0"/>
        </w:tabs>
        <w:spacing w:line="360" w:lineRule="auto"/>
        <w:ind w:firstLine="420" w:firstLineChars="200"/>
      </w:pPr>
      <w:r>
        <w:rPr>
          <w:rFonts w:hint="eastAsia"/>
        </w:rPr>
        <w:t>2.甲方为乙方充电设备提供合适的摆放位置（即用户可看见、能触碰的位置，如收银台、自助服务台等座区等），并且保持电源（标准电源220V.10A、三线标准插座、防雨防潮、可靠接地，24小时供电（特殊情况或</w:t>
      </w:r>
      <w:r>
        <w:t>甲方全院</w:t>
      </w:r>
      <w:r>
        <w:rPr>
          <w:rFonts w:hint="eastAsia"/>
        </w:rPr>
        <w:t>停电除外））。</w:t>
      </w:r>
    </w:p>
    <w:p w14:paraId="3035BB8A">
      <w:pPr>
        <w:pStyle w:val="11"/>
        <w:tabs>
          <w:tab w:val="left" w:pos="0"/>
        </w:tabs>
        <w:spacing w:line="360" w:lineRule="auto"/>
        <w:ind w:firstLine="420" w:firstLineChars="200"/>
      </w:pPr>
      <w:r>
        <w:rPr>
          <w:rFonts w:hint="eastAsia"/>
        </w:rPr>
        <w:t>3.乙方拥有充电设备的所有权，并免费提供给甲方使用。</w:t>
      </w:r>
    </w:p>
    <w:p w14:paraId="1626C794">
      <w:pPr>
        <w:pStyle w:val="11"/>
        <w:tabs>
          <w:tab w:val="left" w:pos="0"/>
        </w:tabs>
        <w:spacing w:line="360" w:lineRule="auto"/>
        <w:ind w:firstLine="420" w:firstLineChars="200"/>
      </w:pPr>
      <w:r>
        <w:rPr>
          <w:rFonts w:hint="eastAsia"/>
        </w:rPr>
        <w:t>4.乙方提供设备数量约定如下</w:t>
      </w:r>
      <w:r>
        <w:rPr>
          <w:rFonts w:hint="eastAsia" w:ascii="Times New Roman" w:hAnsi="Times New Roman" w:eastAsia="宋体" w:cs="Times New Roman"/>
        </w:rPr>
        <w:t>：</w:t>
      </w:r>
      <w:r>
        <w:rPr>
          <w:rFonts w:hint="eastAsia" w:ascii="Times New Roman" w:hAnsi="Times New Roman" w:eastAsia="宋体" w:cs="Times New Roman"/>
          <w:lang w:val="en-US" w:eastAsia="zh-CN"/>
        </w:rPr>
        <w:t>富阳院区急诊大厅1台，门诊一楼大厅1台，门诊2楼大厅1台，门诊3楼大厅1台，门诊4楼大厅1台，4楼ICU门口1台，门诊2楼输液室大厅1台，住院楼大厅1台，6号楼发热门诊大厅1台，7号楼大厅1台。江北院区：发热门诊大厅1台，输液大厅1台，门诊大厅一楼1台，二楼大厅1台，三楼大厅1台。住院一楼大厅1台</w:t>
      </w:r>
      <w:r>
        <w:rPr>
          <w:rFonts w:hint="eastAsia" w:ascii="Times New Roman" w:hAnsi="Times New Roman" w:eastAsia="宋体" w:cs="Times New Roman"/>
        </w:rPr>
        <w:t>。如</w:t>
      </w:r>
      <w:r>
        <w:rPr>
          <w:rFonts w:hint="eastAsia"/>
        </w:rPr>
        <w:t>果设备出现丢失，甲方需第一时间通知乙方，并配合乙方检查、取证。</w:t>
      </w:r>
    </w:p>
    <w:p w14:paraId="42038D97">
      <w:pPr>
        <w:pStyle w:val="3"/>
        <w:tabs>
          <w:tab w:val="left" w:pos="0"/>
        </w:tabs>
        <w:rPr>
          <w:rFonts w:hint="eastAsia"/>
        </w:rPr>
      </w:pPr>
      <w:r>
        <w:rPr>
          <w:rFonts w:hint="eastAsia"/>
        </w:rPr>
        <w:t>二、合同期限</w:t>
      </w:r>
    </w:p>
    <w:p w14:paraId="0D889B7C">
      <w:pPr>
        <w:pStyle w:val="11"/>
        <w:tabs>
          <w:tab w:val="left" w:pos="0"/>
        </w:tabs>
        <w:spacing w:line="360" w:lineRule="auto"/>
        <w:ind w:firstLine="420" w:firstLineChars="200"/>
      </w:pPr>
      <w:r>
        <w:rPr>
          <w:rFonts w:hint="eastAsia"/>
        </w:rPr>
        <w:t>服务期：2025年</w:t>
      </w:r>
      <w:r>
        <w:rPr>
          <w:rFonts w:hint="eastAsia"/>
          <w:lang w:val="en-US" w:eastAsia="zh-CN"/>
        </w:rPr>
        <w:t xml:space="preserve">  </w:t>
      </w:r>
      <w:r>
        <w:rPr>
          <w:rFonts w:hint="eastAsia"/>
        </w:rPr>
        <w:t>月</w:t>
      </w:r>
      <w:r>
        <w:rPr>
          <w:rFonts w:hint="eastAsia"/>
          <w:lang w:val="en-US" w:eastAsia="zh-CN"/>
        </w:rPr>
        <w:t xml:space="preserve">  </w:t>
      </w:r>
      <w:r>
        <w:rPr>
          <w:rFonts w:hint="eastAsia"/>
        </w:rPr>
        <w:t>日至202</w:t>
      </w:r>
      <w:r>
        <w:rPr>
          <w:rFonts w:hint="eastAsia"/>
          <w:lang w:val="en-US" w:eastAsia="zh-CN"/>
        </w:rPr>
        <w:t>8</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5EEC06B9">
      <w:pPr>
        <w:pStyle w:val="3"/>
        <w:tabs>
          <w:tab w:val="left" w:pos="0"/>
        </w:tabs>
        <w:rPr>
          <w:rFonts w:hint="eastAsia"/>
        </w:rPr>
      </w:pPr>
      <w:r>
        <w:rPr>
          <w:rFonts w:hint="eastAsia"/>
        </w:rPr>
        <w:t>三、合同费用及支付</w:t>
      </w:r>
    </w:p>
    <w:p w14:paraId="31AC6020">
      <w:pPr>
        <w:pStyle w:val="11"/>
        <w:tabs>
          <w:tab w:val="left" w:pos="0"/>
        </w:tabs>
        <w:spacing w:line="360" w:lineRule="auto"/>
        <w:ind w:firstLine="420" w:firstLineChars="200"/>
      </w:pPr>
      <w:r>
        <w:t>1.</w:t>
      </w:r>
      <w:r>
        <w:rPr>
          <w:rFonts w:hint="eastAsia"/>
        </w:rPr>
        <w:t xml:space="preserve">本项目总管理费 </w:t>
      </w:r>
      <w:r>
        <w:rPr>
          <w:rFonts w:hint="eastAsia"/>
          <w:u w:val="single"/>
        </w:rPr>
        <w:t xml:space="preserve">       </w:t>
      </w:r>
      <w:r>
        <w:rPr>
          <w:rFonts w:hint="eastAsia"/>
        </w:rPr>
        <w:t>元（大写：人民币）。</w:t>
      </w:r>
    </w:p>
    <w:p w14:paraId="4C364A5F">
      <w:pPr>
        <w:pStyle w:val="11"/>
        <w:tabs>
          <w:tab w:val="left" w:pos="0"/>
        </w:tabs>
        <w:spacing w:line="360" w:lineRule="auto"/>
        <w:ind w:firstLine="420" w:firstLineChars="200"/>
      </w:pPr>
      <w:r>
        <w:t>2.</w:t>
      </w:r>
      <w:r>
        <w:rPr>
          <w:rFonts w:hint="eastAsia"/>
        </w:rPr>
        <w:t>合同生效之日起1</w:t>
      </w:r>
      <w:r>
        <w:t>0</w:t>
      </w:r>
      <w:r>
        <w:rPr>
          <w:rFonts w:hint="eastAsia"/>
        </w:rPr>
        <w:t>个工作日内，乙方须向甲方支付第一笔管理费</w:t>
      </w:r>
      <w:r>
        <w:rPr>
          <w:rFonts w:hint="eastAsia"/>
          <w:u w:val="single"/>
        </w:rPr>
        <w:t xml:space="preserve">       </w:t>
      </w:r>
      <w:r>
        <w:rPr>
          <w:rFonts w:hint="eastAsia"/>
        </w:rPr>
        <w:t>元（大写：人民币元整）； 年  月  日前，乙方须向甲方支付第二笔管理费</w:t>
      </w:r>
      <w:r>
        <w:rPr>
          <w:rFonts w:hint="eastAsia"/>
          <w:u w:val="single"/>
        </w:rPr>
        <w:t xml:space="preserve">       </w:t>
      </w:r>
      <w:r>
        <w:rPr>
          <w:rFonts w:hint="eastAsia"/>
        </w:rPr>
        <w:t>元（大写：人民币  元整）； 年  月  日前，乙方须向甲方支付第</w:t>
      </w:r>
      <w:r>
        <w:rPr>
          <w:rFonts w:hint="eastAsia"/>
          <w:lang w:val="en-US" w:eastAsia="zh-CN"/>
        </w:rPr>
        <w:t>三</w:t>
      </w:r>
      <w:r>
        <w:rPr>
          <w:rFonts w:hint="eastAsia"/>
        </w:rPr>
        <w:t>笔管理费</w:t>
      </w:r>
      <w:r>
        <w:rPr>
          <w:rFonts w:hint="eastAsia"/>
          <w:u w:val="single"/>
        </w:rPr>
        <w:t xml:space="preserve">       </w:t>
      </w:r>
      <w:r>
        <w:rPr>
          <w:rFonts w:hint="eastAsia"/>
        </w:rPr>
        <w:t>元（大写：人民币  元整）</w:t>
      </w:r>
      <w:r>
        <w:rPr>
          <w:rFonts w:hint="eastAsia"/>
          <w:lang w:eastAsia="zh-CN"/>
        </w:rPr>
        <w:t>。</w:t>
      </w:r>
      <w:r>
        <w:rPr>
          <w:rFonts w:hint="eastAsia"/>
        </w:rPr>
        <w:t>甲方收到乙方管理费后，甲方开具收款票据。</w:t>
      </w:r>
    </w:p>
    <w:p w14:paraId="4BE00F57">
      <w:pPr>
        <w:pStyle w:val="11"/>
        <w:tabs>
          <w:tab w:val="left" w:pos="0"/>
        </w:tabs>
        <w:spacing w:line="360" w:lineRule="auto"/>
        <w:ind w:firstLine="420" w:firstLineChars="200"/>
        <w:rPr>
          <w:rFonts w:hint="eastAsia" w:ascii="Times New Roman" w:hAnsi="Times New Roman" w:eastAsia="宋体" w:cs="Times New Roman"/>
          <w:lang w:eastAsia="zh-Hans"/>
        </w:rPr>
      </w:pPr>
      <w:r>
        <w:t>3</w:t>
      </w:r>
      <w:r>
        <w:rPr>
          <w:rFonts w:hint="eastAsia"/>
        </w:rPr>
        <w:t>.在政府政策允许下，甲方根据实际情况可以要求乙方增加共享充电宝数量，管理费用双方另行协商。</w:t>
      </w:r>
    </w:p>
    <w:p w14:paraId="70C78A32">
      <w:pPr>
        <w:pStyle w:val="11"/>
        <w:tabs>
          <w:tab w:val="left" w:pos="0"/>
        </w:tabs>
        <w:spacing w:line="360" w:lineRule="auto"/>
        <w:ind w:firstLine="420" w:firstLineChars="200"/>
        <w:rPr>
          <w:rFonts w:hint="eastAsia" w:ascii="Times New Roman" w:hAnsi="Times New Roman" w:eastAsia="宋体" w:cs="Times New Roman"/>
          <w:lang w:eastAsia="zh-Hans"/>
        </w:rPr>
      </w:pPr>
      <w:r>
        <w:rPr>
          <w:rFonts w:hint="eastAsia" w:ascii="Times New Roman" w:hAnsi="Times New Roman" w:eastAsia="宋体" w:cs="Times New Roman"/>
          <w:lang w:eastAsia="zh-Hans"/>
        </w:rPr>
        <w:t>4.乙方安置于甲方场地的智能充电设备的价格根据市场统一定价，每个账号每24小时免费时长为5分钟，之后按</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Hans"/>
        </w:rPr>
        <w:t>元/小时向用户收费，封顶为</w:t>
      </w:r>
      <w:r>
        <w:rPr>
          <w:rFonts w:hint="eastAsia" w:ascii="Times New Roman" w:hAnsi="Times New Roman" w:eastAsia="宋体" w:cs="Times New Roman"/>
          <w:lang w:val="en-US" w:eastAsia="zh-CN"/>
        </w:rPr>
        <w:t>15</w:t>
      </w:r>
      <w:r>
        <w:rPr>
          <w:rFonts w:hint="eastAsia" w:ascii="Times New Roman" w:hAnsi="Times New Roman" w:eastAsia="宋体" w:cs="Times New Roman"/>
          <w:lang w:eastAsia="zh-Hans"/>
        </w:rPr>
        <w:t>元/24小时</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总封顶99元</w:t>
      </w:r>
      <w:r>
        <w:rPr>
          <w:rFonts w:hint="eastAsia" w:ascii="Times New Roman" w:hAnsi="Times New Roman" w:eastAsia="宋体" w:cs="Times New Roman"/>
          <w:lang w:eastAsia="zh-Hans"/>
        </w:rPr>
        <w:t>；后期如有价格更改须征得甲方同意。</w:t>
      </w:r>
    </w:p>
    <w:p w14:paraId="03C1271D">
      <w:pPr>
        <w:pStyle w:val="11"/>
        <w:tabs>
          <w:tab w:val="left" w:pos="0"/>
        </w:tabs>
        <w:spacing w:line="360" w:lineRule="auto"/>
        <w:ind w:firstLine="420" w:firstLineChars="200"/>
        <w:rPr>
          <w:rFonts w:hint="eastAsia" w:ascii="Times New Roman" w:hAnsi="Times New Roman" w:eastAsia="宋体" w:cs="Times New Roman"/>
          <w:lang w:eastAsia="zh-Hans"/>
        </w:rPr>
      </w:pPr>
      <w:r>
        <w:rPr>
          <w:rFonts w:hint="eastAsia" w:ascii="Times New Roman" w:hAnsi="Times New Roman" w:eastAsia="宋体" w:cs="Times New Roman"/>
          <w:lang w:eastAsia="zh-Hans"/>
        </w:rPr>
        <w:t>因省营县院新模式的运营管理需要，医院目前有第一名称“浙江省人民医院富阳院区”，第二名称为“杭州市富阳区第一人民医院”，但开票和</w:t>
      </w:r>
      <w:r>
        <w:rPr>
          <w:rFonts w:hint="eastAsia" w:ascii="Times New Roman" w:hAnsi="Times New Roman" w:eastAsia="宋体" w:cs="Times New Roman"/>
          <w:lang w:val="en-US" w:eastAsia="zh-CN"/>
        </w:rPr>
        <w:t>收</w:t>
      </w:r>
      <w:r>
        <w:rPr>
          <w:rFonts w:hint="eastAsia" w:ascii="Times New Roman" w:hAnsi="Times New Roman" w:eastAsia="宋体" w:cs="Times New Roman"/>
          <w:lang w:eastAsia="zh-Hans"/>
        </w:rPr>
        <w:t>付款名称需要用第二名称，户名：杭州市富阳区第一人民医院，开户银行：中国农业银行股份有限公司杭州富阳支行，账号：19060101040046065。</w:t>
      </w:r>
    </w:p>
    <w:p w14:paraId="373447FB">
      <w:pPr>
        <w:pStyle w:val="3"/>
        <w:tabs>
          <w:tab w:val="left" w:pos="0"/>
        </w:tabs>
        <w:rPr>
          <w:rFonts w:hint="eastAsia"/>
        </w:rPr>
      </w:pPr>
      <w:r>
        <w:rPr>
          <w:rFonts w:hint="eastAsia"/>
        </w:rPr>
        <w:t>四、双方权利与义务</w:t>
      </w:r>
    </w:p>
    <w:p w14:paraId="75F98CD5">
      <w:pPr>
        <w:pStyle w:val="11"/>
        <w:tabs>
          <w:tab w:val="left" w:pos="0"/>
        </w:tabs>
        <w:spacing w:line="360" w:lineRule="auto"/>
        <w:ind w:firstLine="420" w:firstLineChars="200"/>
      </w:pPr>
      <w:r>
        <w:rPr>
          <w:rFonts w:hint="eastAsia"/>
        </w:rPr>
        <w:t>1权利</w:t>
      </w:r>
    </w:p>
    <w:p w14:paraId="1A3DBA57">
      <w:pPr>
        <w:pStyle w:val="11"/>
        <w:tabs>
          <w:tab w:val="left" w:pos="0"/>
        </w:tabs>
        <w:spacing w:line="360" w:lineRule="auto"/>
        <w:ind w:firstLine="420" w:firstLineChars="200"/>
      </w:pPr>
      <w:r>
        <w:rPr>
          <w:rFonts w:hint="eastAsia"/>
        </w:rPr>
        <w:t>1.1甲乙双方有权对有关自身的事宜向对方做出咨询、沟通。</w:t>
      </w:r>
    </w:p>
    <w:p w14:paraId="4033EA15">
      <w:pPr>
        <w:pStyle w:val="11"/>
        <w:tabs>
          <w:tab w:val="left" w:pos="0"/>
        </w:tabs>
        <w:spacing w:line="360" w:lineRule="auto"/>
        <w:ind w:firstLine="420" w:firstLineChars="200"/>
      </w:pPr>
      <w:r>
        <w:rPr>
          <w:rFonts w:hint="eastAsia"/>
        </w:rPr>
        <w:t>1.2甲乙双方有权对各自的促销推广活动邀请对方进行合作沟通。</w:t>
      </w:r>
    </w:p>
    <w:p w14:paraId="14CD0EB7">
      <w:pPr>
        <w:pStyle w:val="11"/>
        <w:tabs>
          <w:tab w:val="left" w:pos="0"/>
        </w:tabs>
        <w:spacing w:line="360" w:lineRule="auto"/>
        <w:ind w:firstLine="420" w:firstLineChars="200"/>
      </w:pPr>
      <w:r>
        <w:rPr>
          <w:rFonts w:hint="eastAsia"/>
        </w:rPr>
        <w:t>1.3甲乙双方对各自的品牌、商标、标志等拥有专有权。甲乙双方在使用对方的品牌、商标、标志进行宣传推广前，需提出书面申请并得到对方的授权。</w:t>
      </w:r>
    </w:p>
    <w:p w14:paraId="70D415E8">
      <w:pPr>
        <w:pStyle w:val="11"/>
        <w:tabs>
          <w:tab w:val="left" w:pos="0"/>
        </w:tabs>
        <w:spacing w:line="360" w:lineRule="auto"/>
        <w:ind w:firstLine="420" w:firstLineChars="200"/>
      </w:pPr>
      <w:r>
        <w:rPr>
          <w:rFonts w:hint="eastAsia"/>
        </w:rPr>
        <w:t>2义务</w:t>
      </w:r>
    </w:p>
    <w:p w14:paraId="6CACE6DB">
      <w:pPr>
        <w:pStyle w:val="11"/>
        <w:tabs>
          <w:tab w:val="left" w:pos="0"/>
        </w:tabs>
        <w:spacing w:line="360" w:lineRule="auto"/>
        <w:ind w:firstLine="420" w:firstLineChars="200"/>
      </w:pPr>
      <w:r>
        <w:rPr>
          <w:rFonts w:hint="eastAsia"/>
        </w:rPr>
        <w:t>2.1甲乙双方有义务协助用户进行电源借还操作，并对相关疑问进行答疑讲解。</w:t>
      </w:r>
    </w:p>
    <w:p w14:paraId="31AB25CF">
      <w:pPr>
        <w:pStyle w:val="11"/>
        <w:tabs>
          <w:tab w:val="left" w:pos="0"/>
        </w:tabs>
        <w:spacing w:line="360" w:lineRule="auto"/>
        <w:ind w:firstLine="420" w:firstLineChars="200"/>
      </w:pPr>
      <w:r>
        <w:rPr>
          <w:rFonts w:hint="eastAsia"/>
        </w:rPr>
        <w:t>2.2乙方负责处理在电源租还服务流程中出现的设备故障报修、丢失处理和计费答疑等问题。</w:t>
      </w:r>
    </w:p>
    <w:p w14:paraId="067EA08E">
      <w:pPr>
        <w:pStyle w:val="11"/>
        <w:tabs>
          <w:tab w:val="left" w:pos="0"/>
        </w:tabs>
        <w:spacing w:line="360" w:lineRule="auto"/>
        <w:ind w:firstLine="420" w:firstLineChars="200"/>
      </w:pPr>
      <w:r>
        <w:rPr>
          <w:rFonts w:hint="eastAsia"/>
        </w:rPr>
        <w:t>2.3甲方有义务确保设备摆放在</w:t>
      </w:r>
      <w:r>
        <w:rPr>
          <w:rFonts w:hint="eastAsia"/>
          <w:lang w:eastAsia="zh-Hans"/>
        </w:rPr>
        <w:t>院</w:t>
      </w:r>
      <w:r>
        <w:rPr>
          <w:rFonts w:hint="eastAsia"/>
        </w:rPr>
        <w:t>内合适的位置，确保电源、设备放置于安全环境、位置（包括设备自身安全及不会产生侵害第三方的危险）。</w:t>
      </w:r>
    </w:p>
    <w:p w14:paraId="280E0F24">
      <w:pPr>
        <w:pStyle w:val="11"/>
        <w:tabs>
          <w:tab w:val="left" w:pos="0"/>
        </w:tabs>
        <w:spacing w:line="360" w:lineRule="auto"/>
        <w:ind w:firstLine="420" w:firstLineChars="200"/>
      </w:pPr>
      <w:r>
        <w:rPr>
          <w:rFonts w:hint="eastAsia"/>
        </w:rPr>
        <w:t>2.4甲方有义务保管充电设备并配合乙方人员的日常维护工作，甲方在以下情况下发生设备丢失和损坏，可不承担相关赔偿：1甲方所在地遭遇不可抗力的自然灾害（地震，战争，洪水等）导致设备丢失或者损坏；2甲方场所遭遇盜窃致设备遗失或损坏，需第一时间通知乙方工作人员，并提供当地派出所报案证明以及相关视频等证据，配合乙方人员追究相关人员的责任和赔偿。</w:t>
      </w:r>
    </w:p>
    <w:p w14:paraId="7110CFC5">
      <w:pPr>
        <w:pStyle w:val="11"/>
        <w:tabs>
          <w:tab w:val="left" w:pos="0"/>
        </w:tabs>
        <w:spacing w:line="360" w:lineRule="auto"/>
        <w:ind w:firstLine="420" w:firstLineChars="200"/>
      </w:pPr>
      <w:r>
        <w:t>2.5</w:t>
      </w:r>
      <w:r>
        <w:rPr>
          <w:rFonts w:hint="eastAsia"/>
        </w:rPr>
        <w:t>因充电设备本身质量问题产生的故障和破损（例如正常安全使用环境下的产品爆炸、产品自燃、产品自身质量问题等）引起甲方或用户的损失，全部由乙方及产品制造商承担。</w:t>
      </w:r>
    </w:p>
    <w:p w14:paraId="03B2A8AE">
      <w:pPr>
        <w:pStyle w:val="11"/>
        <w:tabs>
          <w:tab w:val="left" w:pos="0"/>
        </w:tabs>
        <w:spacing w:line="360" w:lineRule="auto"/>
        <w:ind w:firstLine="420" w:firstLineChars="200"/>
      </w:pPr>
      <w:r>
        <w:rPr>
          <w:rFonts w:hint="eastAsia"/>
        </w:rPr>
        <w:t>2.6双方在微信公众号和APP上宣传便民自助租借移动充电宝服务，做到人性化服务提升用户对品牌忠诚度、满意度、知名度。</w:t>
      </w:r>
    </w:p>
    <w:p w14:paraId="73460EF5">
      <w:pPr>
        <w:pStyle w:val="11"/>
        <w:tabs>
          <w:tab w:val="left" w:pos="0"/>
        </w:tabs>
        <w:spacing w:line="360" w:lineRule="auto"/>
        <w:ind w:firstLine="420" w:firstLineChars="200"/>
        <w:rPr>
          <w:rFonts w:hint="eastAsia"/>
        </w:rPr>
      </w:pPr>
      <w:r>
        <w:rPr>
          <w:rFonts w:hint="eastAsia"/>
        </w:rPr>
        <w:t>2.7共享充电宝是集自动收款、出货于一体的机密设备，无特殊情况安装位置应保持不变，如需调整共享充电宝位置时，应由双方协商并由乙方派员迁移设备。</w:t>
      </w:r>
    </w:p>
    <w:p w14:paraId="463940D8">
      <w:pPr>
        <w:pStyle w:val="11"/>
        <w:tabs>
          <w:tab w:val="left" w:pos="0"/>
        </w:tabs>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2.8乙方在合同期内需指派4名运维人员作为联络人维护院区设备，保管并确保乙方设备完好和安全，如出现丢失（乙方设备在乙方后台显示不在线超过10日）或外力损坏，由乙方负责维修和补充,甲方有义务协助乙方调查。乙方必须每周安排运维人员到院对每台设备进行检测，并按照甲方要求做好检测记录，乙方未按要求进行检测并记录的，甲方有权进行处罚，每少检测一次，处罚人民币500元，乙方拒不缴纳的，甲方有权从保证金中扣除。</w:t>
      </w:r>
    </w:p>
    <w:p w14:paraId="05E54002">
      <w:pPr>
        <w:pStyle w:val="11"/>
        <w:tabs>
          <w:tab w:val="left" w:pos="0"/>
        </w:tabs>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2.9在租借过程中，由于乙方设施设备造成用户生命财产等损失，乙方负全部责任，甲方无须承担。</w:t>
      </w:r>
    </w:p>
    <w:p w14:paraId="68852DB3">
      <w:pPr>
        <w:pStyle w:val="11"/>
        <w:tabs>
          <w:tab w:val="left" w:pos="0"/>
        </w:tabs>
        <w:spacing w:line="360" w:lineRule="auto"/>
        <w:ind w:firstLine="420" w:firstLineChars="200"/>
        <w:rPr>
          <w:rFonts w:hint="eastAsia" w:eastAsia="宋体"/>
          <w:lang w:val="en-US" w:eastAsia="zh-CN"/>
        </w:rPr>
      </w:pPr>
      <w:r>
        <w:rPr>
          <w:rFonts w:hint="eastAsia" w:ascii="Times New Roman" w:hAnsi="Times New Roman" w:eastAsia="宋体" w:cs="Times New Roman"/>
          <w:lang w:val="en-US" w:eastAsia="zh-CN"/>
        </w:rPr>
        <w:t>2.10因乙方原因导致患者或者本院职工投诉的，经甲方主管科室核实后予以每次人民币500元的处罚，乙方拒不缴纳的，甲方有权从保证金中扣除。</w:t>
      </w:r>
    </w:p>
    <w:p w14:paraId="0382724F">
      <w:pPr>
        <w:pStyle w:val="3"/>
        <w:tabs>
          <w:tab w:val="left" w:pos="0"/>
        </w:tabs>
        <w:rPr>
          <w:rFonts w:hint="eastAsia"/>
        </w:rPr>
      </w:pPr>
      <w:r>
        <w:rPr>
          <w:rFonts w:hint="eastAsia"/>
        </w:rPr>
        <w:t>五、特别约定</w:t>
      </w:r>
    </w:p>
    <w:p w14:paraId="3EAEF4F2">
      <w:pPr>
        <w:pStyle w:val="11"/>
        <w:tabs>
          <w:tab w:val="left" w:pos="0"/>
        </w:tabs>
        <w:spacing w:line="360" w:lineRule="auto"/>
        <w:ind w:firstLine="420" w:firstLineChars="200"/>
      </w:pPr>
      <w:r>
        <w:rPr>
          <w:rFonts w:hint="eastAsia"/>
        </w:rPr>
        <w:t>1.甲乙双方均共同为用户提供耐心细致的服务，确保用户的使用体验。</w:t>
      </w:r>
    </w:p>
    <w:p w14:paraId="013AFB94">
      <w:pPr>
        <w:pStyle w:val="11"/>
        <w:tabs>
          <w:tab w:val="left" w:pos="0"/>
        </w:tabs>
        <w:spacing w:line="360" w:lineRule="auto"/>
        <w:ind w:firstLine="420" w:firstLineChars="200"/>
        <w:rPr>
          <w:rFonts w:hint="eastAsia"/>
        </w:rPr>
      </w:pPr>
      <w:r>
        <w:rPr>
          <w:rFonts w:hint="eastAsia"/>
        </w:rPr>
        <w:t>2.本服务项目独立运作，双方不得把消费和购买产品作为用户使用本服务的附加条件。</w:t>
      </w:r>
    </w:p>
    <w:p w14:paraId="00706C9E">
      <w:pPr>
        <w:pStyle w:val="3"/>
        <w:tabs>
          <w:tab w:val="left" w:pos="0"/>
        </w:tabs>
        <w:rPr>
          <w:rFonts w:hint="eastAsia"/>
        </w:rPr>
      </w:pPr>
      <w:r>
        <w:rPr>
          <w:rFonts w:hint="eastAsia"/>
        </w:rPr>
        <w:t>六、保密事项</w:t>
      </w:r>
    </w:p>
    <w:p w14:paraId="76E77307">
      <w:pPr>
        <w:pStyle w:val="11"/>
        <w:tabs>
          <w:tab w:val="left" w:pos="0"/>
        </w:tabs>
        <w:spacing w:line="360" w:lineRule="auto"/>
        <w:ind w:firstLine="420" w:firstLineChars="200"/>
      </w:pPr>
      <w:r>
        <w:rPr>
          <w:rFonts w:hint="eastAsia"/>
        </w:rPr>
        <w:t>合同双方在履行本合约期间对于所获知的另一方的商业及技术秘密负有保密义务，不得将获知的商业和技术秘密泄露给第三方。</w:t>
      </w:r>
    </w:p>
    <w:p w14:paraId="7DD681CD">
      <w:pPr>
        <w:pStyle w:val="3"/>
        <w:tabs>
          <w:tab w:val="left" w:pos="0"/>
        </w:tabs>
        <w:rPr>
          <w:rFonts w:hint="eastAsia"/>
        </w:rPr>
      </w:pPr>
      <w:r>
        <w:rPr>
          <w:rFonts w:hint="eastAsia"/>
        </w:rPr>
        <w:t>七、不可抗力</w:t>
      </w:r>
    </w:p>
    <w:p w14:paraId="50D5056F">
      <w:pPr>
        <w:pStyle w:val="11"/>
        <w:tabs>
          <w:tab w:val="left" w:pos="0"/>
        </w:tabs>
        <w:spacing w:line="360" w:lineRule="auto"/>
        <w:ind w:firstLine="420" w:firstLineChars="200"/>
      </w:pPr>
      <w:r>
        <w:rPr>
          <w:rFonts w:hint="eastAsia"/>
        </w:rPr>
        <w:t>在合同有效期内，因发生不可抗力事件导致本合同全部或部分不能履行、迟延履行时，受到不可抗力影响的一方应在不可抗力事件发生后及时书面通知对方并提供有关证明。在取得相关证明之后，主张受到不可抗力影响的一方可中止履行直至不可抗力结束，并免予承担违约责任，但应尽最大可能克服障碍消除或减轻负面影响。</w:t>
      </w:r>
    </w:p>
    <w:p w14:paraId="055D301D">
      <w:pPr>
        <w:pStyle w:val="3"/>
        <w:tabs>
          <w:tab w:val="left" w:pos="0"/>
        </w:tabs>
        <w:rPr>
          <w:rFonts w:hint="eastAsia"/>
        </w:rPr>
      </w:pPr>
      <w:r>
        <w:rPr>
          <w:rFonts w:hint="eastAsia"/>
        </w:rPr>
        <w:t>八、违约责任</w:t>
      </w:r>
    </w:p>
    <w:p w14:paraId="6E0BC455">
      <w:pPr>
        <w:pStyle w:val="11"/>
        <w:tabs>
          <w:tab w:val="left" w:pos="0"/>
        </w:tabs>
        <w:spacing w:line="360" w:lineRule="auto"/>
        <w:ind w:firstLine="420" w:firstLineChars="200"/>
      </w:pPr>
      <w:r>
        <w:rPr>
          <w:rFonts w:hint="eastAsia"/>
        </w:rPr>
        <w:t>1.合同双方同意，本合约任何一方违反各自在本合约中所保证、承诺的或其他条款，均构成违约。如因一方的违约行为对其他方造成损失的，违约方应负赔偿责任。</w:t>
      </w:r>
    </w:p>
    <w:p w14:paraId="4A7F92DD">
      <w:pPr>
        <w:pStyle w:val="11"/>
        <w:tabs>
          <w:tab w:val="left" w:pos="0"/>
        </w:tabs>
        <w:spacing w:line="360" w:lineRule="auto"/>
        <w:ind w:firstLine="420" w:firstLineChars="200"/>
        <w:rPr>
          <w:rFonts w:hint="eastAsia" w:eastAsia="宋体"/>
          <w:lang w:eastAsia="zh-CN"/>
        </w:rPr>
      </w:pPr>
      <w:r>
        <w:rPr>
          <w:rFonts w:hint="eastAsia"/>
        </w:rPr>
        <w:t>2.对非本合同双方过错所产生的损失，各方应按照公平原则分担并相互协助向有过错一方请求赔偿</w:t>
      </w:r>
      <w:r>
        <w:rPr>
          <w:rFonts w:hint="eastAsia"/>
          <w:lang w:eastAsia="zh-CN"/>
        </w:rPr>
        <w:t>。</w:t>
      </w:r>
    </w:p>
    <w:p w14:paraId="45094C78">
      <w:pPr>
        <w:pStyle w:val="3"/>
        <w:tabs>
          <w:tab w:val="left" w:pos="0"/>
        </w:tabs>
        <w:rPr>
          <w:rFonts w:hint="eastAsia"/>
        </w:rPr>
      </w:pPr>
      <w:r>
        <w:rPr>
          <w:rFonts w:hint="eastAsia"/>
        </w:rPr>
        <w:t>九、免责条款</w:t>
      </w:r>
    </w:p>
    <w:p w14:paraId="7793A443">
      <w:pPr>
        <w:pStyle w:val="11"/>
        <w:tabs>
          <w:tab w:val="left" w:pos="0"/>
        </w:tabs>
        <w:spacing w:line="360" w:lineRule="auto"/>
        <w:ind w:firstLine="420" w:firstLineChars="200"/>
        <w:rPr>
          <w:rFonts w:hint="eastAsia" w:eastAsia="宋体"/>
          <w:lang w:eastAsia="zh-CN"/>
        </w:rPr>
      </w:pPr>
      <w:r>
        <w:rPr>
          <w:rFonts w:hint="eastAsia"/>
        </w:rPr>
        <w:t>由于目前的技术或者成本无法解决的问题或者由于不可抗力而不能履行合同时，由双方共同商议确定</w:t>
      </w:r>
      <w:r>
        <w:rPr>
          <w:rFonts w:hint="eastAsia"/>
          <w:lang w:eastAsia="zh-CN"/>
        </w:rPr>
        <w:t>。</w:t>
      </w:r>
    </w:p>
    <w:p w14:paraId="2BA1B58C">
      <w:pPr>
        <w:pStyle w:val="3"/>
        <w:tabs>
          <w:tab w:val="left" w:pos="0"/>
        </w:tabs>
        <w:rPr>
          <w:rFonts w:hint="eastAsia"/>
        </w:rPr>
      </w:pPr>
      <w:r>
        <w:rPr>
          <w:rFonts w:hint="eastAsia"/>
        </w:rPr>
        <w:t>十、合同纠纷处理方式</w:t>
      </w:r>
    </w:p>
    <w:p w14:paraId="7AC2A340">
      <w:pPr>
        <w:pStyle w:val="11"/>
        <w:tabs>
          <w:tab w:val="left" w:pos="0"/>
        </w:tabs>
        <w:spacing w:line="360" w:lineRule="auto"/>
        <w:ind w:firstLine="420" w:firstLineChars="200"/>
      </w:pPr>
      <w:r>
        <w:rPr>
          <w:rFonts w:hint="eastAsia"/>
        </w:rPr>
        <w:t>协议在履行过程中发生争议的由双方当事人协商解决，协商不成的由甲方所在地人民法院处理。在法院审理期间，除提交法院审理的事项外，协议其它事项和条款仍应继续履行。</w:t>
      </w:r>
    </w:p>
    <w:p w14:paraId="5597E030">
      <w:pPr>
        <w:pStyle w:val="3"/>
        <w:tabs>
          <w:tab w:val="left" w:pos="0"/>
        </w:tabs>
        <w:rPr>
          <w:rFonts w:hint="eastAsia"/>
        </w:rPr>
      </w:pPr>
      <w:r>
        <w:rPr>
          <w:rFonts w:hint="eastAsia"/>
        </w:rPr>
        <w:t>十一、廉政条款</w:t>
      </w:r>
    </w:p>
    <w:p w14:paraId="64FF4A54">
      <w:pPr>
        <w:pStyle w:val="11"/>
        <w:tabs>
          <w:tab w:val="left" w:pos="0"/>
        </w:tabs>
        <w:spacing w:line="360" w:lineRule="auto"/>
        <w:ind w:firstLine="420" w:firstLineChars="200"/>
      </w:pPr>
      <w:r>
        <w:rPr>
          <w:rFonts w:hint="eastAsia"/>
        </w:rPr>
        <w:t>1、甲乙双方应严格遵守《医疗机构工作人员廉洁从业九项准则》及相关法律法规。</w:t>
      </w:r>
    </w:p>
    <w:p w14:paraId="4A4118DB">
      <w:pPr>
        <w:pStyle w:val="11"/>
        <w:tabs>
          <w:tab w:val="left" w:pos="0"/>
        </w:tabs>
        <w:spacing w:line="360" w:lineRule="auto"/>
        <w:ind w:firstLine="420" w:firstLineChars="200"/>
      </w:pPr>
      <w:r>
        <w:rPr>
          <w:rFonts w:hint="eastAsia"/>
        </w:rPr>
        <w:t>2、甲方严禁接受乙方以任何名义、形式给予的回扣，不得将接受捐赠资助与采购挂钩。</w:t>
      </w:r>
    </w:p>
    <w:p w14:paraId="3A4A8F83">
      <w:pPr>
        <w:pStyle w:val="11"/>
        <w:tabs>
          <w:tab w:val="left" w:pos="0"/>
        </w:tabs>
        <w:spacing w:line="360" w:lineRule="auto"/>
        <w:ind w:firstLine="420" w:firstLineChars="200"/>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153CD352">
      <w:pPr>
        <w:pStyle w:val="11"/>
        <w:tabs>
          <w:tab w:val="left" w:pos="0"/>
        </w:tabs>
        <w:spacing w:line="360" w:lineRule="auto"/>
        <w:ind w:firstLine="420" w:firstLineChars="200"/>
        <w:rPr>
          <w:rFonts w:hint="eastAsia" w:eastAsia="宋体"/>
          <w:lang w:eastAsia="zh-CN"/>
        </w:rPr>
      </w:pPr>
      <w:r>
        <w:rPr>
          <w:rFonts w:hint="eastAsia"/>
        </w:rPr>
        <w:t>4、乙方不得以回扣、宴请等方式影响甲方工作人员采购或使用医药产品的选择权，不得在学术活动中提供旅游、超标准支付食宿费用</w:t>
      </w:r>
      <w:r>
        <w:rPr>
          <w:rFonts w:hint="eastAsia"/>
          <w:lang w:eastAsia="zh-CN"/>
        </w:rPr>
        <w:t>。</w:t>
      </w:r>
    </w:p>
    <w:p w14:paraId="171D1C1C">
      <w:pPr>
        <w:pStyle w:val="3"/>
        <w:tabs>
          <w:tab w:val="left" w:pos="0"/>
        </w:tabs>
        <w:rPr>
          <w:rFonts w:hint="eastAsia"/>
        </w:rPr>
      </w:pPr>
      <w:r>
        <w:rPr>
          <w:rFonts w:hint="eastAsia"/>
        </w:rPr>
        <w:t>十二、合同终止</w:t>
      </w:r>
    </w:p>
    <w:p w14:paraId="0E36ADAD">
      <w:pPr>
        <w:pStyle w:val="11"/>
        <w:tabs>
          <w:tab w:val="left" w:pos="0"/>
        </w:tabs>
        <w:spacing w:line="360" w:lineRule="auto"/>
        <w:ind w:firstLine="420" w:firstLineChars="200"/>
      </w:pPr>
      <w:r>
        <w:rPr>
          <w:rFonts w:hint="eastAsia"/>
        </w:rPr>
        <w:t>1.下列情况之一出现时，本合作合同被视为即时终止：</w:t>
      </w:r>
    </w:p>
    <w:p w14:paraId="101663FF">
      <w:pPr>
        <w:pStyle w:val="11"/>
        <w:tabs>
          <w:tab w:val="left" w:pos="0"/>
        </w:tabs>
        <w:spacing w:line="360" w:lineRule="auto"/>
        <w:ind w:firstLine="420" w:firstLineChars="200"/>
      </w:pPr>
      <w:r>
        <w:rPr>
          <w:rFonts w:hint="eastAsia"/>
        </w:rPr>
        <w:t>合作期限届满或本合同约定的其他终止情形发生时，本合同终止；</w:t>
      </w:r>
    </w:p>
    <w:p w14:paraId="249B1A8D">
      <w:pPr>
        <w:pStyle w:val="11"/>
        <w:tabs>
          <w:tab w:val="left" w:pos="0"/>
        </w:tabs>
        <w:spacing w:line="360" w:lineRule="auto"/>
        <w:ind w:firstLine="420" w:firstLineChars="200"/>
      </w:pPr>
      <w:r>
        <w:rPr>
          <w:rFonts w:hint="eastAsia"/>
        </w:rPr>
        <w:t>双方协商一致的，可提前终止本合同；</w:t>
      </w:r>
    </w:p>
    <w:p w14:paraId="3E9BD134">
      <w:pPr>
        <w:pStyle w:val="11"/>
        <w:tabs>
          <w:tab w:val="left" w:pos="0"/>
        </w:tabs>
        <w:spacing w:line="360" w:lineRule="auto"/>
        <w:ind w:firstLine="420" w:firstLineChars="200"/>
      </w:pPr>
      <w:r>
        <w:rPr>
          <w:rFonts w:hint="eastAsia"/>
        </w:rPr>
        <w:t>任何一方违约，另一方根据本合同的约定提前终止。</w:t>
      </w:r>
    </w:p>
    <w:p w14:paraId="11573253">
      <w:pPr>
        <w:pStyle w:val="11"/>
        <w:tabs>
          <w:tab w:val="left" w:pos="0"/>
        </w:tabs>
        <w:spacing w:line="360" w:lineRule="auto"/>
        <w:ind w:firstLine="420" w:firstLineChars="200"/>
      </w:pPr>
      <w:r>
        <w:rPr>
          <w:rFonts w:hint="eastAsia"/>
        </w:rPr>
        <w:t>2.合同终止后，有关用户纠纷由违约方负责承担。</w:t>
      </w:r>
    </w:p>
    <w:p w14:paraId="4DF2BF40">
      <w:pPr>
        <w:pStyle w:val="3"/>
        <w:tabs>
          <w:tab w:val="left" w:pos="0"/>
        </w:tabs>
        <w:rPr>
          <w:rFonts w:hint="eastAsia"/>
        </w:rPr>
      </w:pPr>
      <w:r>
        <w:rPr>
          <w:rFonts w:hint="eastAsia"/>
        </w:rPr>
        <w:t>十三、合同生效及其它</w:t>
      </w:r>
    </w:p>
    <w:p w14:paraId="6C8C5E72">
      <w:pPr>
        <w:pStyle w:val="11"/>
        <w:tabs>
          <w:tab w:val="left" w:pos="0"/>
        </w:tabs>
        <w:spacing w:line="360" w:lineRule="auto"/>
        <w:ind w:firstLine="420" w:firstLineChars="200"/>
      </w:pPr>
      <w:r>
        <w:rPr>
          <w:rFonts w:hint="eastAsia"/>
        </w:rPr>
        <w:t>1</w:t>
      </w:r>
      <w:r>
        <w:t>.</w:t>
      </w:r>
      <w:r>
        <w:rPr>
          <w:rFonts w:hint="eastAsia"/>
        </w:rPr>
        <w:t>本合同未尽事宜，由双方协商解决或另行签订书面补充协议，补充协议与本合同具有同等法律效力，补充协议与本合同约定不一致的，以补充协议的约定为准。</w:t>
      </w:r>
    </w:p>
    <w:p w14:paraId="1F93EB12">
      <w:pPr>
        <w:pStyle w:val="11"/>
        <w:tabs>
          <w:tab w:val="left" w:pos="0"/>
        </w:tabs>
        <w:spacing w:line="360" w:lineRule="auto"/>
        <w:ind w:firstLine="420" w:firstLineChars="200"/>
      </w:pPr>
      <w:r>
        <w:t>2.</w:t>
      </w:r>
      <w:r>
        <w:rPr>
          <w:rFonts w:hint="eastAsia"/>
        </w:rPr>
        <w:t>乙方应保证所提供的货物或其任何一部分均不会侵犯任何第三方的知识产权。</w:t>
      </w:r>
    </w:p>
    <w:p w14:paraId="7D6D253B">
      <w:pPr>
        <w:pStyle w:val="11"/>
        <w:tabs>
          <w:tab w:val="left" w:pos="0"/>
        </w:tabs>
        <w:spacing w:line="360" w:lineRule="auto"/>
        <w:ind w:firstLine="420" w:firstLineChars="200"/>
      </w:pPr>
      <w:r>
        <w:rPr>
          <w:rFonts w:hint="eastAsia"/>
        </w:rPr>
        <w:t>3</w:t>
      </w:r>
      <w:r>
        <w:t>.</w:t>
      </w:r>
      <w:r>
        <w:rPr>
          <w:rFonts w:hint="eastAsia"/>
        </w:rPr>
        <w:t>本合同一式伍份，甲方持叁份，乙方持贰份，具有同等法律效力。</w:t>
      </w:r>
    </w:p>
    <w:p w14:paraId="434910CA">
      <w:pPr>
        <w:pStyle w:val="11"/>
        <w:tabs>
          <w:tab w:val="left" w:pos="0"/>
        </w:tabs>
        <w:spacing w:line="360" w:lineRule="auto"/>
        <w:ind w:firstLine="420" w:firstLineChars="200"/>
      </w:pPr>
      <w:r>
        <w:t>4.</w:t>
      </w:r>
      <w:r>
        <w:rPr>
          <w:rFonts w:hint="eastAsia"/>
        </w:rPr>
        <w:t>本合同经甲乙双方的法人代表或者授权代表签名，并加盖双方公章或业务专用章之日起正式生效。</w:t>
      </w:r>
    </w:p>
    <w:p w14:paraId="614B2041">
      <w:pPr>
        <w:pStyle w:val="11"/>
        <w:tabs>
          <w:tab w:val="left" w:pos="0"/>
        </w:tabs>
        <w:spacing w:line="360" w:lineRule="auto"/>
        <w:ind w:firstLine="420" w:firstLineChars="200"/>
      </w:pPr>
      <w:r>
        <w:t>5.</w:t>
      </w:r>
      <w:r>
        <w:rPr>
          <w:rFonts w:hint="eastAsia"/>
        </w:rPr>
        <w:t>本合同未尽事宜，双方友好协商解决，并遵照《中华人民共和国民法典》有关条文执行。</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r>
              <w:rPr>
                <w:rFonts w:hint="eastAsia" w:ascii="宋体" w:hAnsi="宋体" w:cs="宋体"/>
                <w:sz w:val="24"/>
                <w:szCs w:val="24"/>
                <w:lang w:val="en-US" w:eastAsia="zh-CN"/>
              </w:rPr>
              <w:t>杭州市富阳区富春街道北环路429号/富阳区春江街道竹简路300号</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r>
              <w:rPr>
                <w:rFonts w:hint="eastAsia" w:ascii="宋体" w:hAnsi="宋体" w:eastAsia="宋体" w:cs="宋体"/>
              </w:rPr>
              <w:t>中国农业银行股份有限公司杭州富阳支行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r>
              <w:rPr>
                <w:rFonts w:hint="eastAsia" w:ascii="宋体" w:hAnsi="宋体" w:eastAsia="宋体" w:cs="宋体"/>
              </w:rPr>
              <w:t>19060101040046065</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19"/>
    <w:bookmarkEnd w:id="20"/>
    <w:bookmarkEnd w:id="21"/>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2" w:name="_Toc169"/>
      <w:bookmarkStart w:id="23" w:name="_Toc390342487"/>
      <w:bookmarkStart w:id="24" w:name="_Toc368993656"/>
      <w:bookmarkStart w:id="25" w:name="_Toc404172372"/>
      <w:bookmarkStart w:id="26" w:name="_Toc385596607"/>
      <w:bookmarkStart w:id="27" w:name="_Toc396290683"/>
      <w:bookmarkStart w:id="28" w:name="_Toc450199111"/>
      <w:bookmarkStart w:id="29" w:name="_Toc402432104"/>
      <w:bookmarkStart w:id="30" w:name="_Toc415814146"/>
      <w:bookmarkStart w:id="31" w:name="_Toc372127740"/>
      <w:r>
        <w:rPr>
          <w:rFonts w:ascii="Times New Roman" w:hAnsi="Times New Roman" w:cs="Times New Roman"/>
        </w:rPr>
        <w:t>一、磋商响应文件封面</w:t>
      </w:r>
      <w:bookmarkEnd w:id="22"/>
      <w:bookmarkEnd w:id="23"/>
      <w:bookmarkEnd w:id="24"/>
      <w:bookmarkEnd w:id="25"/>
      <w:bookmarkEnd w:id="26"/>
      <w:bookmarkEnd w:id="27"/>
      <w:bookmarkEnd w:id="28"/>
      <w:bookmarkEnd w:id="29"/>
      <w:bookmarkEnd w:id="30"/>
      <w:bookmarkEnd w:id="31"/>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2" w:name="_Toc401423940"/>
      <w:bookmarkStart w:id="33" w:name="_Toc415814147"/>
      <w:bookmarkStart w:id="34" w:name="_Toc293401393"/>
      <w:bookmarkStart w:id="35" w:name="_Toc450199112"/>
      <w:bookmarkStart w:id="36" w:name="_Toc21615"/>
      <w:r>
        <w:rPr>
          <w:rFonts w:ascii="Times New Roman" w:hAnsi="Times New Roman" w:cs="Times New Roman"/>
        </w:rPr>
        <w:t>二、报价</w:t>
      </w:r>
      <w:bookmarkEnd w:id="32"/>
      <w:bookmarkEnd w:id="33"/>
      <w:bookmarkEnd w:id="34"/>
      <w:r>
        <w:rPr>
          <w:rFonts w:ascii="Times New Roman" w:hAnsi="Times New Roman" w:cs="Times New Roman"/>
        </w:rPr>
        <w:t>文件</w:t>
      </w:r>
      <w:bookmarkEnd w:id="35"/>
      <w:bookmarkEnd w:id="36"/>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0C157E8B">
      <w:pPr>
        <w:spacing w:line="360" w:lineRule="auto"/>
        <w:ind w:left="2"/>
        <w:jc w:val="center"/>
        <w:rPr>
          <w:b/>
          <w:sz w:val="32"/>
        </w:rPr>
      </w:pPr>
      <w:r>
        <w:rPr>
          <w:b/>
          <w:sz w:val="32"/>
        </w:rPr>
        <w:t>磋商响应初始报价一览表</w:t>
      </w:r>
    </w:p>
    <w:p w14:paraId="25C58AEA">
      <w:pPr>
        <w:pStyle w:val="15"/>
        <w:adjustRightInd w:val="0"/>
        <w:snapToGrid w:val="0"/>
        <w:spacing w:line="360" w:lineRule="auto"/>
        <w:rPr>
          <w:rFonts w:ascii="Times New Roman" w:hAnsi="Times New Roman"/>
        </w:rPr>
      </w:pPr>
    </w:p>
    <w:p w14:paraId="13070EEF">
      <w:pPr>
        <w:pStyle w:val="40"/>
        <w:rPr>
          <w:rFonts w:ascii="Times New Roman" w:hAnsi="Times New Roman" w:cs="Times New Roman"/>
          <w:snapToGrid/>
        </w:rPr>
      </w:pPr>
      <w:r>
        <w:rPr>
          <w:rFonts w:ascii="Times New Roman" w:hAnsi="Times New Roman" w:cs="Times New Roman"/>
          <w:snapToGrid/>
        </w:rPr>
        <w:t>项目名称：</w:t>
      </w:r>
    </w:p>
    <w:p w14:paraId="6F6AC45A">
      <w:pPr>
        <w:pStyle w:val="40"/>
        <w:rPr>
          <w:rFonts w:ascii="Times New Roman" w:hAnsi="Times New Roman" w:cs="Times New Roman"/>
          <w:snapToGrid/>
        </w:rPr>
      </w:pPr>
      <w:r>
        <w:rPr>
          <w:rFonts w:ascii="Times New Roman" w:hAnsi="Times New Roman" w:cs="Times New Roman"/>
          <w:snapToGrid/>
        </w:rPr>
        <w:t>招标项目编号：</w:t>
      </w:r>
    </w:p>
    <w:tbl>
      <w:tblPr>
        <w:tblStyle w:val="31"/>
        <w:tblpPr w:leftFromText="180" w:rightFromText="180" w:vertAnchor="text" w:horzAnchor="page" w:tblpX="1652" w:tblpY="332"/>
        <w:tblOverlap w:val="never"/>
        <w:tblW w:w="47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9"/>
        <w:gridCol w:w="5556"/>
      </w:tblGrid>
      <w:tr w14:paraId="5A8C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 w:hRule="atLeast"/>
        </w:trPr>
        <w:tc>
          <w:tcPr>
            <w:tcW w:w="1834" w:type="pct"/>
            <w:vAlign w:val="center"/>
          </w:tcPr>
          <w:p w14:paraId="2221D2A5">
            <w:pPr>
              <w:spacing w:line="400" w:lineRule="exact"/>
              <w:jc w:val="center"/>
              <w:rPr>
                <w:sz w:val="24"/>
                <w:szCs w:val="24"/>
                <w:lang w:val="zh-CN"/>
              </w:rPr>
            </w:pPr>
            <w:r>
              <w:rPr>
                <w:sz w:val="24"/>
                <w:szCs w:val="24"/>
                <w:lang w:val="zh-CN"/>
              </w:rPr>
              <w:t>项目名称</w:t>
            </w:r>
          </w:p>
        </w:tc>
        <w:tc>
          <w:tcPr>
            <w:tcW w:w="3165" w:type="pct"/>
            <w:vAlign w:val="center"/>
          </w:tcPr>
          <w:p w14:paraId="5F3A925F">
            <w:pPr>
              <w:spacing w:line="400" w:lineRule="exact"/>
              <w:rPr>
                <w:sz w:val="24"/>
                <w:szCs w:val="24"/>
                <w:lang w:val="zh-CN"/>
              </w:rPr>
            </w:pPr>
            <w:r>
              <w:rPr>
                <w:rFonts w:hint="eastAsia"/>
                <w:sz w:val="24"/>
                <w:szCs w:val="24"/>
                <w:lang w:val="zh-CN"/>
              </w:rPr>
              <w:t>浙江省人民医院</w:t>
            </w:r>
            <w:r>
              <w:rPr>
                <w:rFonts w:hint="eastAsia"/>
                <w:sz w:val="24"/>
                <w:szCs w:val="24"/>
                <w:lang w:val="en-US" w:eastAsia="zh-CN"/>
              </w:rPr>
              <w:t>富阳院区及江北院区</w:t>
            </w:r>
            <w:r>
              <w:rPr>
                <w:rFonts w:hint="eastAsia"/>
                <w:sz w:val="24"/>
                <w:szCs w:val="24"/>
                <w:lang w:val="zh-CN"/>
              </w:rPr>
              <w:t>共享充电宝服务项目</w:t>
            </w:r>
          </w:p>
        </w:tc>
      </w:tr>
      <w:tr w14:paraId="1854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834" w:type="pct"/>
            <w:vAlign w:val="center"/>
          </w:tcPr>
          <w:p w14:paraId="32B36288">
            <w:pPr>
              <w:spacing w:line="400" w:lineRule="exact"/>
              <w:jc w:val="center"/>
              <w:rPr>
                <w:sz w:val="24"/>
                <w:szCs w:val="24"/>
              </w:rPr>
            </w:pPr>
            <w:r>
              <w:rPr>
                <w:sz w:val="24"/>
                <w:szCs w:val="24"/>
              </w:rPr>
              <w:t>磋商报价</w:t>
            </w:r>
          </w:p>
        </w:tc>
        <w:tc>
          <w:tcPr>
            <w:tcW w:w="3165" w:type="pct"/>
            <w:vAlign w:val="center"/>
          </w:tcPr>
          <w:p w14:paraId="2F0EFA40">
            <w:pPr>
              <w:spacing w:line="400" w:lineRule="exact"/>
              <w:rPr>
                <w:sz w:val="24"/>
                <w:szCs w:val="24"/>
              </w:rPr>
            </w:pPr>
            <w:r>
              <w:rPr>
                <w:rFonts w:hint="eastAsia"/>
                <w:sz w:val="24"/>
                <w:szCs w:val="24"/>
                <w:u w:val="single"/>
              </w:rPr>
              <w:t xml:space="preserve">          </w:t>
            </w:r>
            <w:r>
              <w:rPr>
                <w:rFonts w:hint="eastAsia"/>
                <w:sz w:val="24"/>
                <w:szCs w:val="24"/>
              </w:rPr>
              <w:t>元/年</w:t>
            </w:r>
          </w:p>
        </w:tc>
      </w:tr>
      <w:tr w14:paraId="6D4D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834" w:type="pct"/>
            <w:vAlign w:val="center"/>
          </w:tcPr>
          <w:p w14:paraId="4507446A">
            <w:pPr>
              <w:spacing w:line="400" w:lineRule="exact"/>
              <w:jc w:val="center"/>
              <w:rPr>
                <w:sz w:val="24"/>
                <w:szCs w:val="24"/>
              </w:rPr>
            </w:pPr>
            <w:r>
              <w:rPr>
                <w:rFonts w:hint="eastAsia"/>
                <w:sz w:val="24"/>
                <w:szCs w:val="24"/>
              </w:rPr>
              <w:t>服务期</w:t>
            </w:r>
          </w:p>
        </w:tc>
        <w:tc>
          <w:tcPr>
            <w:tcW w:w="3165" w:type="pct"/>
            <w:vAlign w:val="center"/>
          </w:tcPr>
          <w:p w14:paraId="3BC7DBA7">
            <w:pPr>
              <w:spacing w:line="400" w:lineRule="exact"/>
              <w:rPr>
                <w:sz w:val="24"/>
                <w:szCs w:val="24"/>
                <w:lang w:val="zh-CN"/>
              </w:rPr>
            </w:pPr>
          </w:p>
        </w:tc>
      </w:tr>
    </w:tbl>
    <w:p w14:paraId="0D65153A">
      <w:pPr>
        <w:adjustRightInd w:val="0"/>
        <w:snapToGrid w:val="0"/>
        <w:spacing w:line="300" w:lineRule="auto"/>
        <w:rPr>
          <w:snapToGrid/>
          <w:sz w:val="24"/>
          <w:szCs w:val="24"/>
        </w:rPr>
      </w:pPr>
      <w:r>
        <w:rPr>
          <w:rFonts w:hint="eastAsia"/>
          <w:snapToGrid/>
          <w:sz w:val="24"/>
          <w:szCs w:val="24"/>
        </w:rPr>
        <w:t>注：</w:t>
      </w:r>
    </w:p>
    <w:p w14:paraId="5467061B">
      <w:pPr>
        <w:adjustRightInd w:val="0"/>
        <w:snapToGrid w:val="0"/>
        <w:spacing w:line="300" w:lineRule="auto"/>
        <w:ind w:firstLine="480" w:firstLineChars="200"/>
        <w:rPr>
          <w:snapToGrid/>
          <w:sz w:val="24"/>
          <w:szCs w:val="24"/>
        </w:rPr>
      </w:pPr>
      <w:r>
        <w:rPr>
          <w:rFonts w:hint="eastAsia"/>
          <w:snapToGrid/>
          <w:sz w:val="24"/>
          <w:szCs w:val="24"/>
        </w:rPr>
        <w:t>1、本次投标报价为含税人民币价。</w:t>
      </w:r>
    </w:p>
    <w:p w14:paraId="074D8D5D">
      <w:pPr>
        <w:adjustRightInd w:val="0"/>
        <w:snapToGrid w:val="0"/>
        <w:spacing w:line="300" w:lineRule="auto"/>
        <w:ind w:firstLine="480" w:firstLineChars="200"/>
        <w:rPr>
          <w:snapToGrid/>
          <w:sz w:val="24"/>
          <w:szCs w:val="24"/>
        </w:rPr>
      </w:pPr>
      <w:r>
        <w:rPr>
          <w:rFonts w:hint="eastAsia"/>
          <w:snapToGrid/>
          <w:sz w:val="24"/>
          <w:szCs w:val="24"/>
        </w:rPr>
        <w:t>2、最低限价：</w:t>
      </w:r>
      <w:r>
        <w:rPr>
          <w:rFonts w:hint="eastAsia"/>
          <w:snapToGrid/>
          <w:sz w:val="24"/>
          <w:szCs w:val="24"/>
          <w:lang w:val="en-US" w:eastAsia="zh-CN"/>
        </w:rPr>
        <w:t>12.5</w:t>
      </w:r>
      <w:r>
        <w:rPr>
          <w:rFonts w:hint="eastAsia"/>
          <w:snapToGrid/>
          <w:sz w:val="24"/>
          <w:szCs w:val="24"/>
        </w:rPr>
        <w:t>万元/年</w:t>
      </w:r>
    </w:p>
    <w:p w14:paraId="36BB5D5A">
      <w:pPr>
        <w:pStyle w:val="40"/>
        <w:rPr>
          <w:rFonts w:ascii="Times New Roman" w:hAnsi="Times New Roman" w:cs="Times New Roman"/>
        </w:rPr>
      </w:pPr>
    </w:p>
    <w:p w14:paraId="430EAC30">
      <w:pPr>
        <w:pStyle w:val="40"/>
        <w:rPr>
          <w:rFonts w:ascii="Times New Roman" w:hAnsi="Times New Roman" w:cs="Times New Roman"/>
        </w:rPr>
      </w:pPr>
      <w:r>
        <w:rPr>
          <w:rFonts w:ascii="Times New Roman" w:hAnsi="Times New Roman" w:cs="Times New Roman"/>
        </w:rPr>
        <w:t>磋商响应供应商（盖章）：</w:t>
      </w:r>
    </w:p>
    <w:p w14:paraId="759E37E6">
      <w:pPr>
        <w:pStyle w:val="40"/>
        <w:rPr>
          <w:rFonts w:ascii="Times New Roman" w:hAnsi="Times New Roman" w:cs="Times New Roman"/>
        </w:rPr>
      </w:pPr>
    </w:p>
    <w:p w14:paraId="05857774">
      <w:pPr>
        <w:pStyle w:val="40"/>
        <w:rPr>
          <w:rFonts w:ascii="Times New Roman" w:hAnsi="Times New Roman" w:cs="Times New Roman"/>
        </w:rPr>
      </w:pPr>
      <w:r>
        <w:rPr>
          <w:rFonts w:ascii="Times New Roman" w:hAnsi="Times New Roman" w:cs="Times New Roman"/>
        </w:rPr>
        <w:t>法定代表人或授权代表（签字或盖章）：</w:t>
      </w:r>
    </w:p>
    <w:p w14:paraId="5642F96B">
      <w:pPr>
        <w:pStyle w:val="40"/>
        <w:rPr>
          <w:rFonts w:ascii="Times New Roman" w:hAnsi="Times New Roman" w:cs="Times New Roman"/>
          <w:u w:val="single"/>
        </w:rPr>
      </w:pPr>
      <w:r>
        <w:rPr>
          <w:rFonts w:ascii="Times New Roman" w:hAnsi="Times New Roman" w:cs="Times New Roman"/>
        </w:rPr>
        <w:t>日期：    年  月  日</w:t>
      </w:r>
    </w:p>
    <w:p w14:paraId="4EB7B5A5">
      <w:pPr>
        <w:pStyle w:val="15"/>
      </w:pPr>
      <w:r>
        <w:rPr>
          <w:rFonts w:ascii="Times New Roman" w:hAnsi="Times New Roman"/>
          <w:snapToGrid w:val="0"/>
        </w:rPr>
        <w:br w:type="page"/>
      </w:r>
      <w:bookmarkStart w:id="37" w:name="_Toc293401394"/>
      <w:bookmarkStart w:id="38" w:name="_Toc415814148"/>
      <w:bookmarkStart w:id="39" w:name="_Toc312928677"/>
      <w:bookmarkStart w:id="40" w:name="_Toc401423941"/>
      <w:bookmarkStart w:id="41" w:name="_Toc8574"/>
      <w:bookmarkStart w:id="42" w:name="_Toc450199113"/>
    </w:p>
    <w:bookmarkEnd w:id="37"/>
    <w:bookmarkEnd w:id="38"/>
    <w:bookmarkEnd w:id="39"/>
    <w:bookmarkEnd w:id="40"/>
    <w:bookmarkEnd w:id="41"/>
    <w:bookmarkEnd w:id="42"/>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6B66934D">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4、技术响应；</w:t>
      </w:r>
    </w:p>
    <w:p w14:paraId="00039A10">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5、企业情况；</w:t>
      </w:r>
    </w:p>
    <w:p w14:paraId="00F70595">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6、业绩；</w:t>
      </w:r>
    </w:p>
    <w:p w14:paraId="53D2018A">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7、管理水平；</w:t>
      </w:r>
    </w:p>
    <w:p w14:paraId="458F158C">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8、设备配置；</w:t>
      </w:r>
    </w:p>
    <w:p w14:paraId="6468AECC">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9、日常运营方案；</w:t>
      </w:r>
    </w:p>
    <w:p w14:paraId="339C301D">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10、配套服务；</w:t>
      </w:r>
    </w:p>
    <w:p w14:paraId="354D8982">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11、应急方案；</w:t>
      </w:r>
    </w:p>
    <w:p w14:paraId="6577B7FD">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12、服务人员；</w:t>
      </w:r>
    </w:p>
    <w:p w14:paraId="0CA0B016">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13、合理化建议；</w:t>
      </w:r>
    </w:p>
    <w:p w14:paraId="2FC22DF5">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14、增值服务；</w:t>
      </w:r>
    </w:p>
    <w:p w14:paraId="415EBC5C">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14、声明函；</w:t>
      </w:r>
    </w:p>
    <w:p w14:paraId="02D2EC63">
      <w:pPr>
        <w:pStyle w:val="29"/>
        <w:ind w:left="424" w:leftChars="202"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15、供应商提供的其他资料。</w:t>
      </w:r>
    </w:p>
    <w:p w14:paraId="174BB8FD">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400C6680">
      <w:pPr>
        <w:pStyle w:val="29"/>
        <w:tabs>
          <w:tab w:val="left" w:pos="0"/>
        </w:tabs>
        <w:ind w:firstLine="480"/>
        <w:rPr>
          <w:b/>
          <w:bCs/>
          <w:sz w:val="24"/>
          <w:szCs w:val="24"/>
        </w:rPr>
      </w:pPr>
      <w:r>
        <w:rPr>
          <w:rFonts w:hint="eastAsia"/>
          <w:b/>
          <w:bCs/>
          <w:sz w:val="24"/>
          <w:szCs w:val="24"/>
        </w:rPr>
        <w:t>4、技术响应；</w:t>
      </w:r>
    </w:p>
    <w:p w14:paraId="33E6B30E">
      <w:pPr>
        <w:pStyle w:val="29"/>
        <w:tabs>
          <w:tab w:val="left" w:pos="0"/>
        </w:tabs>
        <w:ind w:firstLine="480"/>
        <w:rPr>
          <w:b/>
          <w:bCs/>
          <w:sz w:val="24"/>
          <w:szCs w:val="24"/>
        </w:rPr>
      </w:pPr>
      <w:r>
        <w:rPr>
          <w:rFonts w:hint="eastAsia"/>
          <w:b/>
          <w:bCs/>
          <w:sz w:val="24"/>
          <w:szCs w:val="24"/>
        </w:rPr>
        <w:t>5、企业情况；</w:t>
      </w:r>
    </w:p>
    <w:p w14:paraId="5BB26D56">
      <w:pPr>
        <w:pStyle w:val="29"/>
        <w:tabs>
          <w:tab w:val="left" w:pos="0"/>
        </w:tabs>
        <w:ind w:firstLine="480"/>
        <w:rPr>
          <w:b/>
          <w:bCs/>
          <w:sz w:val="24"/>
          <w:szCs w:val="24"/>
        </w:rPr>
      </w:pPr>
      <w:r>
        <w:rPr>
          <w:rFonts w:hint="eastAsia"/>
          <w:b/>
          <w:bCs/>
          <w:sz w:val="24"/>
          <w:szCs w:val="24"/>
        </w:rPr>
        <w:t>6、业绩；</w:t>
      </w:r>
    </w:p>
    <w:p w14:paraId="58092F1F">
      <w:pPr>
        <w:pStyle w:val="29"/>
        <w:tabs>
          <w:tab w:val="left" w:pos="0"/>
        </w:tabs>
        <w:ind w:firstLine="480"/>
        <w:rPr>
          <w:b/>
          <w:bCs/>
          <w:sz w:val="24"/>
          <w:szCs w:val="24"/>
        </w:rPr>
      </w:pPr>
      <w:r>
        <w:rPr>
          <w:rFonts w:hint="eastAsia"/>
          <w:b/>
          <w:bCs/>
          <w:sz w:val="24"/>
          <w:szCs w:val="24"/>
        </w:rPr>
        <w:t>7、管理水平；</w:t>
      </w:r>
    </w:p>
    <w:p w14:paraId="5DA602E2">
      <w:pPr>
        <w:pStyle w:val="29"/>
        <w:tabs>
          <w:tab w:val="left" w:pos="0"/>
        </w:tabs>
        <w:ind w:firstLine="480"/>
        <w:rPr>
          <w:b/>
          <w:bCs/>
          <w:sz w:val="24"/>
          <w:szCs w:val="24"/>
        </w:rPr>
      </w:pPr>
      <w:r>
        <w:rPr>
          <w:rFonts w:hint="eastAsia"/>
          <w:b/>
          <w:bCs/>
          <w:sz w:val="24"/>
          <w:szCs w:val="24"/>
        </w:rPr>
        <w:t>8、设备配置；</w:t>
      </w:r>
    </w:p>
    <w:p w14:paraId="5BA8414C">
      <w:pPr>
        <w:pStyle w:val="29"/>
        <w:tabs>
          <w:tab w:val="left" w:pos="0"/>
        </w:tabs>
        <w:ind w:firstLine="480"/>
        <w:rPr>
          <w:b/>
          <w:bCs/>
          <w:sz w:val="24"/>
          <w:szCs w:val="24"/>
        </w:rPr>
      </w:pPr>
      <w:r>
        <w:rPr>
          <w:rFonts w:hint="eastAsia"/>
          <w:b/>
          <w:bCs/>
          <w:sz w:val="24"/>
          <w:szCs w:val="24"/>
        </w:rPr>
        <w:t>9、日常运营方案；</w:t>
      </w:r>
    </w:p>
    <w:p w14:paraId="782C8642">
      <w:pPr>
        <w:pStyle w:val="29"/>
        <w:tabs>
          <w:tab w:val="left" w:pos="0"/>
        </w:tabs>
        <w:ind w:firstLine="480"/>
        <w:rPr>
          <w:b/>
          <w:bCs/>
          <w:sz w:val="24"/>
          <w:szCs w:val="24"/>
        </w:rPr>
      </w:pPr>
      <w:r>
        <w:rPr>
          <w:rFonts w:hint="eastAsia"/>
          <w:b/>
          <w:bCs/>
          <w:sz w:val="24"/>
          <w:szCs w:val="24"/>
        </w:rPr>
        <w:t>10、配套服务；</w:t>
      </w:r>
    </w:p>
    <w:p w14:paraId="5068781A">
      <w:pPr>
        <w:pStyle w:val="29"/>
        <w:tabs>
          <w:tab w:val="left" w:pos="0"/>
        </w:tabs>
        <w:ind w:firstLine="480"/>
        <w:rPr>
          <w:b/>
          <w:bCs/>
          <w:sz w:val="24"/>
          <w:szCs w:val="24"/>
        </w:rPr>
      </w:pPr>
      <w:r>
        <w:rPr>
          <w:rFonts w:hint="eastAsia"/>
          <w:b/>
          <w:bCs/>
          <w:sz w:val="24"/>
          <w:szCs w:val="24"/>
        </w:rPr>
        <w:t>11、应急方案；</w:t>
      </w:r>
    </w:p>
    <w:p w14:paraId="7643F3A7">
      <w:pPr>
        <w:pStyle w:val="29"/>
        <w:tabs>
          <w:tab w:val="left" w:pos="0"/>
        </w:tabs>
        <w:ind w:firstLine="480"/>
        <w:rPr>
          <w:b/>
          <w:bCs/>
          <w:sz w:val="24"/>
          <w:szCs w:val="24"/>
        </w:rPr>
      </w:pPr>
      <w:r>
        <w:rPr>
          <w:rFonts w:hint="eastAsia"/>
          <w:b/>
          <w:bCs/>
          <w:sz w:val="24"/>
          <w:szCs w:val="24"/>
        </w:rPr>
        <w:t>12、服务人员；</w:t>
      </w:r>
    </w:p>
    <w:p w14:paraId="23D61EB3">
      <w:pPr>
        <w:pStyle w:val="29"/>
        <w:tabs>
          <w:tab w:val="left" w:pos="0"/>
        </w:tabs>
        <w:ind w:firstLine="480"/>
        <w:rPr>
          <w:b/>
          <w:bCs/>
          <w:sz w:val="24"/>
          <w:szCs w:val="24"/>
        </w:rPr>
      </w:pPr>
      <w:r>
        <w:rPr>
          <w:rFonts w:hint="eastAsia"/>
          <w:b/>
          <w:bCs/>
          <w:sz w:val="24"/>
          <w:szCs w:val="24"/>
        </w:rPr>
        <w:t>13、合理化建议；</w:t>
      </w:r>
    </w:p>
    <w:p w14:paraId="25DC6212">
      <w:pPr>
        <w:pStyle w:val="29"/>
        <w:tabs>
          <w:tab w:val="left" w:pos="0"/>
        </w:tabs>
        <w:ind w:firstLine="480"/>
        <w:rPr>
          <w:b/>
          <w:bCs/>
          <w:sz w:val="24"/>
          <w:szCs w:val="24"/>
        </w:rPr>
      </w:pPr>
      <w:r>
        <w:rPr>
          <w:rFonts w:hint="eastAsia"/>
          <w:b/>
          <w:bCs/>
          <w:sz w:val="24"/>
          <w:szCs w:val="24"/>
        </w:rPr>
        <w:t>14、增值服务；</w:t>
      </w:r>
    </w:p>
    <w:p w14:paraId="1FA56B55">
      <w:pPr>
        <w:pStyle w:val="29"/>
        <w:tabs>
          <w:tab w:val="left" w:pos="0"/>
        </w:tabs>
        <w:ind w:firstLine="480"/>
        <w:rPr>
          <w:b/>
          <w:bCs/>
          <w:sz w:val="24"/>
          <w:szCs w:val="24"/>
        </w:rPr>
      </w:pPr>
      <w:r>
        <w:rPr>
          <w:rFonts w:hint="eastAsia"/>
          <w:b/>
          <w:bCs/>
          <w:sz w:val="24"/>
          <w:szCs w:val="24"/>
        </w:rPr>
        <w:t>14、声明函；</w:t>
      </w:r>
    </w:p>
    <w:p w14:paraId="3D3D8638">
      <w:pPr>
        <w:pStyle w:val="29"/>
        <w:tabs>
          <w:tab w:val="left" w:pos="0"/>
        </w:tabs>
        <w:ind w:firstLine="480"/>
        <w:rPr>
          <w:b/>
          <w:bCs/>
          <w:sz w:val="24"/>
          <w:szCs w:val="24"/>
        </w:rPr>
      </w:pPr>
      <w:r>
        <w:rPr>
          <w:rFonts w:hint="eastAsia"/>
          <w:b/>
          <w:bCs/>
          <w:sz w:val="24"/>
          <w:szCs w:val="24"/>
        </w:rPr>
        <w:t>15、供应商提供的其他资料。</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6</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7</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6" w:type="default"/>
      <w:footerReference r:id="rId7" w:type="default"/>
      <w:footerReference r:id="rId8"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064F7"/>
    <w:multiLevelType w:val="singleLevel"/>
    <w:tmpl w:val="A47064F7"/>
    <w:lvl w:ilvl="0" w:tentative="0">
      <w:start w:val="2"/>
      <w:numFmt w:val="chineseCounting"/>
      <w:suff w:val="nothing"/>
      <w:lvlText w:val="%1、"/>
      <w:lvlJc w:val="left"/>
      <w:rPr>
        <w:rFonts w:hint="eastAsia"/>
      </w:rPr>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3">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F71E5D"/>
    <w:rsid w:val="0904681F"/>
    <w:rsid w:val="099224C2"/>
    <w:rsid w:val="0A931C4A"/>
    <w:rsid w:val="0B2473D6"/>
    <w:rsid w:val="0BC86219"/>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D70154"/>
    <w:rsid w:val="1203481A"/>
    <w:rsid w:val="12160F3D"/>
    <w:rsid w:val="124F3295"/>
    <w:rsid w:val="126307C1"/>
    <w:rsid w:val="12814FA1"/>
    <w:rsid w:val="12942E23"/>
    <w:rsid w:val="13165211"/>
    <w:rsid w:val="149C34F4"/>
    <w:rsid w:val="14C66E85"/>
    <w:rsid w:val="14E804E4"/>
    <w:rsid w:val="169733C3"/>
    <w:rsid w:val="16A17D2C"/>
    <w:rsid w:val="17097A94"/>
    <w:rsid w:val="179B5CE4"/>
    <w:rsid w:val="17F32EFF"/>
    <w:rsid w:val="18A95CD8"/>
    <w:rsid w:val="192926FE"/>
    <w:rsid w:val="19BC01A3"/>
    <w:rsid w:val="19CC0BF8"/>
    <w:rsid w:val="1A9C7638"/>
    <w:rsid w:val="1C656C23"/>
    <w:rsid w:val="1CE0094F"/>
    <w:rsid w:val="1D9C79B2"/>
    <w:rsid w:val="1DB546F7"/>
    <w:rsid w:val="1E4A4F93"/>
    <w:rsid w:val="1E846C1E"/>
    <w:rsid w:val="1EE559BD"/>
    <w:rsid w:val="1FB06AC5"/>
    <w:rsid w:val="202B3AD6"/>
    <w:rsid w:val="20C71BDB"/>
    <w:rsid w:val="20D81670"/>
    <w:rsid w:val="20FB700A"/>
    <w:rsid w:val="21096ED2"/>
    <w:rsid w:val="21704E18"/>
    <w:rsid w:val="21BD09EA"/>
    <w:rsid w:val="23395957"/>
    <w:rsid w:val="248064B3"/>
    <w:rsid w:val="249E2CA0"/>
    <w:rsid w:val="252637D8"/>
    <w:rsid w:val="254C5563"/>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B1C13B5"/>
    <w:rsid w:val="2CAB6572"/>
    <w:rsid w:val="2CDE209F"/>
    <w:rsid w:val="2D17784C"/>
    <w:rsid w:val="2D32663F"/>
    <w:rsid w:val="2DC51887"/>
    <w:rsid w:val="2F0033F9"/>
    <w:rsid w:val="2F8D4468"/>
    <w:rsid w:val="2FB34C91"/>
    <w:rsid w:val="30240B3A"/>
    <w:rsid w:val="306B115D"/>
    <w:rsid w:val="30CD568D"/>
    <w:rsid w:val="31350C4C"/>
    <w:rsid w:val="31487277"/>
    <w:rsid w:val="3192385D"/>
    <w:rsid w:val="33416944"/>
    <w:rsid w:val="34AA7FA1"/>
    <w:rsid w:val="35281E46"/>
    <w:rsid w:val="36CF347B"/>
    <w:rsid w:val="36DF19C3"/>
    <w:rsid w:val="37843695"/>
    <w:rsid w:val="38774730"/>
    <w:rsid w:val="38AC7189"/>
    <w:rsid w:val="38C27DC4"/>
    <w:rsid w:val="3A8F51E8"/>
    <w:rsid w:val="3A9C052D"/>
    <w:rsid w:val="3BC5739B"/>
    <w:rsid w:val="3BC7095A"/>
    <w:rsid w:val="3CCD435D"/>
    <w:rsid w:val="3DE06960"/>
    <w:rsid w:val="3DEC5F8A"/>
    <w:rsid w:val="3E995C74"/>
    <w:rsid w:val="3FCD7966"/>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7FD08B5"/>
    <w:rsid w:val="481B656B"/>
    <w:rsid w:val="48C67A99"/>
    <w:rsid w:val="48DF77FA"/>
    <w:rsid w:val="4961356F"/>
    <w:rsid w:val="4A760968"/>
    <w:rsid w:val="4B51061C"/>
    <w:rsid w:val="4B6169AE"/>
    <w:rsid w:val="4B69143A"/>
    <w:rsid w:val="4C5414AB"/>
    <w:rsid w:val="4C985623"/>
    <w:rsid w:val="4D0258E3"/>
    <w:rsid w:val="4D3E5D38"/>
    <w:rsid w:val="4D7160D6"/>
    <w:rsid w:val="4DA954F8"/>
    <w:rsid w:val="4DB33889"/>
    <w:rsid w:val="4DCC232E"/>
    <w:rsid w:val="4E4023B3"/>
    <w:rsid w:val="4ED55C4C"/>
    <w:rsid w:val="4FE52FC3"/>
    <w:rsid w:val="5060696B"/>
    <w:rsid w:val="50D10372"/>
    <w:rsid w:val="515A37B0"/>
    <w:rsid w:val="51A537C1"/>
    <w:rsid w:val="52125032"/>
    <w:rsid w:val="52825FAC"/>
    <w:rsid w:val="52BF2FD2"/>
    <w:rsid w:val="53F01145"/>
    <w:rsid w:val="54DE17A5"/>
    <w:rsid w:val="552532C3"/>
    <w:rsid w:val="568B2843"/>
    <w:rsid w:val="56A3023E"/>
    <w:rsid w:val="573E3DB0"/>
    <w:rsid w:val="582A2AD1"/>
    <w:rsid w:val="5830574E"/>
    <w:rsid w:val="58480007"/>
    <w:rsid w:val="5863030F"/>
    <w:rsid w:val="594E0310"/>
    <w:rsid w:val="59CF1242"/>
    <w:rsid w:val="5B2122DC"/>
    <w:rsid w:val="5B845F6E"/>
    <w:rsid w:val="5BA7046C"/>
    <w:rsid w:val="5C051E79"/>
    <w:rsid w:val="5C2F7D76"/>
    <w:rsid w:val="5C48577C"/>
    <w:rsid w:val="5CA72F21"/>
    <w:rsid w:val="5D230C5E"/>
    <w:rsid w:val="5D4265C8"/>
    <w:rsid w:val="5DE23965"/>
    <w:rsid w:val="5DF04B2E"/>
    <w:rsid w:val="5E0F2877"/>
    <w:rsid w:val="5E4F07F4"/>
    <w:rsid w:val="5E75045B"/>
    <w:rsid w:val="5EC17BB2"/>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54E3675"/>
    <w:rsid w:val="66495BDD"/>
    <w:rsid w:val="667873C1"/>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4C3E1C"/>
    <w:rsid w:val="6A9F6BF0"/>
    <w:rsid w:val="6ACC2594"/>
    <w:rsid w:val="6C6945F1"/>
    <w:rsid w:val="6C6C10EA"/>
    <w:rsid w:val="6C991A40"/>
    <w:rsid w:val="6CF1659A"/>
    <w:rsid w:val="6D1B4B1E"/>
    <w:rsid w:val="6DB17ECF"/>
    <w:rsid w:val="6DED1766"/>
    <w:rsid w:val="6DF46045"/>
    <w:rsid w:val="6E0F357D"/>
    <w:rsid w:val="6E1E62BB"/>
    <w:rsid w:val="6E5F5FF7"/>
    <w:rsid w:val="6F4B2F52"/>
    <w:rsid w:val="6FCA1077"/>
    <w:rsid w:val="70411408"/>
    <w:rsid w:val="72565E22"/>
    <w:rsid w:val="735F2454"/>
    <w:rsid w:val="73A77042"/>
    <w:rsid w:val="73E50120"/>
    <w:rsid w:val="74C0081A"/>
    <w:rsid w:val="75137DDD"/>
    <w:rsid w:val="751500ED"/>
    <w:rsid w:val="756C780D"/>
    <w:rsid w:val="7638249E"/>
    <w:rsid w:val="769E7DAB"/>
    <w:rsid w:val="775E4966"/>
    <w:rsid w:val="77DD57DA"/>
    <w:rsid w:val="785173F2"/>
    <w:rsid w:val="78913A5E"/>
    <w:rsid w:val="78B51753"/>
    <w:rsid w:val="79352EE7"/>
    <w:rsid w:val="7986140A"/>
    <w:rsid w:val="79EB0973"/>
    <w:rsid w:val="7C376D58"/>
    <w:rsid w:val="7C586356"/>
    <w:rsid w:val="7D00550F"/>
    <w:rsid w:val="7D1D5C9D"/>
    <w:rsid w:val="7D5052A6"/>
    <w:rsid w:val="7DC75C09"/>
    <w:rsid w:val="7E765088"/>
    <w:rsid w:val="7E8D487E"/>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 w:type="paragraph" w:customStyle="1" w:styleId="16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10857</Words>
  <Characters>11343</Characters>
  <Lines>1</Lines>
  <Paragraphs>1</Paragraphs>
  <TotalTime>4</TotalTime>
  <ScaleCrop>false</ScaleCrop>
  <LinksUpToDate>false</LinksUpToDate>
  <CharactersWithSpaces>11598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2025-11-06T00:56:28Z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17D4760026AC42108E159B00B4701824_13</vt:lpwstr>
  </property>
  <property fmtid="{D5CDD505-2E9C-101B-9397-08002B2CF9AE}" pid="4" name="KSOTemplateDocerSaveRecord">
    <vt:lpwstr>eyJoZGlkIjoiNGNjMWNiZjE2MTg1MjE1NzMyOTVhMjFkZDA4Y2NkNjYiLCJ1c2VySWQiOiIxMjUyMTUyOTgyIn0=</vt:lpwstr>
  </property>
</Properties>
</file>