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7B1967">
      <w:pPr>
        <w:pStyle w:val="92"/>
        <w:snapToGrid w:val="0"/>
        <w:spacing w:line="700" w:lineRule="exact"/>
        <w:ind w:firstLine="0"/>
        <w:jc w:val="center"/>
        <w:rPr>
          <w:b w:val="0"/>
          <w:color w:val="auto"/>
          <w:sz w:val="32"/>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bookmarkStart w:id="0" w:name="_Hlk79076498"/>
      <w:bookmarkStart w:id="1" w:name="_Hlk90626799"/>
      <w:bookmarkStart w:id="2" w:name="_Toc171394913"/>
    </w:p>
    <w:p w14:paraId="09F48EA5">
      <w:pPr>
        <w:pStyle w:val="92"/>
        <w:widowControl w:val="0"/>
        <w:snapToGrid w:val="0"/>
        <w:spacing w:line="470" w:lineRule="atLeast"/>
        <w:ind w:firstLine="0"/>
        <w:jc w:val="center"/>
        <w:rPr>
          <w:b w:val="0"/>
          <w:color w:val="auto"/>
          <w:sz w:val="32"/>
        </w:rPr>
      </w:pPr>
    </w:p>
    <w:p w14:paraId="11CCE01A">
      <w:pPr>
        <w:pStyle w:val="92"/>
        <w:widowControl w:val="0"/>
        <w:snapToGrid w:val="0"/>
        <w:spacing w:line="470" w:lineRule="atLeast"/>
        <w:ind w:firstLine="0"/>
        <w:jc w:val="center"/>
        <w:rPr>
          <w:b w:val="0"/>
          <w:color w:val="auto"/>
          <w:sz w:val="32"/>
        </w:rPr>
      </w:pPr>
    </w:p>
    <w:p w14:paraId="6B109CD6">
      <w:pPr>
        <w:pStyle w:val="92"/>
        <w:widowControl w:val="0"/>
        <w:snapToGrid w:val="0"/>
        <w:spacing w:line="470" w:lineRule="atLeast"/>
        <w:ind w:firstLine="0"/>
        <w:jc w:val="center"/>
        <w:rPr>
          <w:b w:val="0"/>
          <w:color w:val="auto"/>
          <w:sz w:val="32"/>
        </w:rPr>
      </w:pPr>
    </w:p>
    <w:p w14:paraId="77D30C21">
      <w:pPr>
        <w:pStyle w:val="92"/>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baseline"/>
        <w:rPr>
          <w:color w:val="auto"/>
          <w:sz w:val="44"/>
          <w:szCs w:val="44"/>
        </w:rPr>
      </w:pPr>
      <w:r>
        <w:rPr>
          <w:rFonts w:hint="eastAsia"/>
          <w:sz w:val="44"/>
          <w:szCs w:val="44"/>
          <w:shd w:val="clear" w:color="auto" w:fill="FFFFFF"/>
          <w:lang w:bidi="ar"/>
        </w:rPr>
        <w:t>浙江省人民医院</w:t>
      </w:r>
      <w:r>
        <w:rPr>
          <w:rFonts w:hint="eastAsia"/>
          <w:sz w:val="44"/>
          <w:szCs w:val="44"/>
          <w:shd w:val="clear" w:color="auto" w:fill="FFFFFF"/>
          <w:lang w:val="en-US" w:eastAsia="zh-CN" w:bidi="ar"/>
        </w:rPr>
        <w:t>富阳</w:t>
      </w:r>
      <w:r>
        <w:rPr>
          <w:rFonts w:hint="eastAsia"/>
          <w:sz w:val="44"/>
          <w:szCs w:val="44"/>
          <w:shd w:val="clear" w:color="auto" w:fill="FFFFFF"/>
          <w:lang w:bidi="ar"/>
        </w:rPr>
        <w:t>院区</w:t>
      </w:r>
      <w:r>
        <w:rPr>
          <w:rFonts w:hint="eastAsia"/>
          <w:sz w:val="44"/>
          <w:szCs w:val="44"/>
          <w:shd w:val="clear" w:color="auto" w:fill="FFFFFF"/>
          <w:lang w:eastAsia="zh-CN" w:bidi="ar"/>
        </w:rPr>
        <w:t>（</w:t>
      </w:r>
      <w:r>
        <w:rPr>
          <w:rFonts w:hint="eastAsia"/>
          <w:sz w:val="44"/>
          <w:szCs w:val="44"/>
          <w:shd w:val="clear" w:color="auto" w:fill="FFFFFF"/>
          <w:lang w:val="en-US" w:eastAsia="zh-CN" w:bidi="ar"/>
        </w:rPr>
        <w:t>江北院区</w:t>
      </w:r>
      <w:r>
        <w:rPr>
          <w:rFonts w:hint="eastAsia"/>
          <w:sz w:val="44"/>
          <w:szCs w:val="44"/>
          <w:shd w:val="clear" w:color="auto" w:fill="FFFFFF"/>
          <w:lang w:eastAsia="zh-CN" w:bidi="ar"/>
        </w:rPr>
        <w:t>）</w:t>
      </w:r>
      <w:r>
        <w:rPr>
          <w:rFonts w:hint="eastAsia"/>
          <w:sz w:val="44"/>
          <w:szCs w:val="44"/>
          <w:shd w:val="clear" w:color="auto" w:fill="FFFFFF"/>
          <w:lang w:val="en-US" w:eastAsia="zh-CN" w:bidi="ar"/>
        </w:rPr>
        <w:t>污水站整体委托管理项目</w:t>
      </w:r>
    </w:p>
    <w:p w14:paraId="3DBD6716">
      <w:pPr>
        <w:pStyle w:val="92"/>
        <w:widowControl w:val="0"/>
        <w:snapToGrid w:val="0"/>
        <w:spacing w:line="470" w:lineRule="atLeast"/>
        <w:ind w:firstLine="0"/>
        <w:rPr>
          <w:color w:val="auto"/>
          <w:sz w:val="72"/>
        </w:rPr>
      </w:pPr>
    </w:p>
    <w:p w14:paraId="63B650C2">
      <w:pPr>
        <w:pStyle w:val="92"/>
        <w:widowControl w:val="0"/>
        <w:snapToGrid w:val="0"/>
        <w:spacing w:line="470" w:lineRule="atLeast"/>
        <w:ind w:firstLine="0"/>
        <w:jc w:val="center"/>
        <w:rPr>
          <w:color w:val="auto"/>
          <w:sz w:val="80"/>
          <w:szCs w:val="80"/>
        </w:rPr>
      </w:pPr>
      <w:r>
        <w:rPr>
          <w:color w:val="auto"/>
          <w:sz w:val="80"/>
          <w:szCs w:val="80"/>
        </w:rPr>
        <w:t>竞争性磋商文件</w:t>
      </w:r>
    </w:p>
    <w:p w14:paraId="7F5FC3EB">
      <w:pPr>
        <w:pStyle w:val="92"/>
        <w:widowControl w:val="0"/>
        <w:snapToGrid w:val="0"/>
        <w:spacing w:line="470" w:lineRule="atLeast"/>
        <w:ind w:firstLine="0"/>
        <w:jc w:val="center"/>
        <w:rPr>
          <w:b w:val="0"/>
          <w:color w:val="auto"/>
          <w:sz w:val="32"/>
        </w:rPr>
      </w:pPr>
    </w:p>
    <w:p w14:paraId="4216942A">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lang w:val="en-US" w:eastAsia="zh-CN"/>
        </w:rPr>
        <w:t>13</w:t>
      </w:r>
      <w:r>
        <w:rPr>
          <w:rFonts w:hint="eastAsia"/>
          <w:b/>
          <w:bCs/>
          <w:sz w:val="32"/>
          <w:szCs w:val="32"/>
          <w:lang w:eastAsia="zh-CN"/>
        </w:rPr>
        <w:t>-20250</w:t>
      </w:r>
      <w:r>
        <w:rPr>
          <w:rFonts w:hint="eastAsia"/>
          <w:b/>
          <w:bCs/>
          <w:sz w:val="32"/>
          <w:szCs w:val="32"/>
          <w:lang w:val="en-US" w:eastAsia="zh-CN"/>
        </w:rPr>
        <w:t>8</w:t>
      </w:r>
    </w:p>
    <w:p w14:paraId="551FA6EA">
      <w:pPr>
        <w:pStyle w:val="92"/>
        <w:widowControl w:val="0"/>
        <w:snapToGrid w:val="0"/>
        <w:spacing w:line="360" w:lineRule="auto"/>
        <w:ind w:firstLine="2400" w:firstLineChars="750"/>
        <w:rPr>
          <w:b w:val="0"/>
          <w:color w:val="auto"/>
          <w:sz w:val="32"/>
          <w:u w:val="single"/>
        </w:rPr>
      </w:pPr>
    </w:p>
    <w:p w14:paraId="303CC176">
      <w:pPr>
        <w:pStyle w:val="92"/>
        <w:spacing w:line="700" w:lineRule="exact"/>
        <w:ind w:firstLine="360" w:firstLineChars="100"/>
        <w:rPr>
          <w:b w:val="0"/>
          <w:color w:val="auto"/>
          <w:sz w:val="36"/>
        </w:rPr>
      </w:pPr>
    </w:p>
    <w:p w14:paraId="33DB7C80">
      <w:pPr>
        <w:pStyle w:val="92"/>
        <w:spacing w:line="700" w:lineRule="exact"/>
        <w:ind w:firstLine="360" w:firstLineChars="100"/>
        <w:rPr>
          <w:b w:val="0"/>
          <w:color w:val="auto"/>
          <w:sz w:val="36"/>
        </w:rPr>
      </w:pPr>
    </w:p>
    <w:p w14:paraId="2134BED7">
      <w:pPr>
        <w:pStyle w:val="92"/>
        <w:spacing w:line="700" w:lineRule="exact"/>
        <w:ind w:firstLine="360" w:firstLineChars="100"/>
        <w:rPr>
          <w:b w:val="0"/>
          <w:color w:val="auto"/>
          <w:sz w:val="36"/>
        </w:rPr>
      </w:pPr>
    </w:p>
    <w:p w14:paraId="43194FCB">
      <w:pPr>
        <w:pStyle w:val="92"/>
        <w:spacing w:line="480" w:lineRule="auto"/>
        <w:ind w:firstLine="0"/>
        <w:jc w:val="center"/>
        <w:rPr>
          <w:rFonts w:hint="default"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146367E7">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八</w:t>
      </w:r>
      <w:r>
        <w:rPr>
          <w:color w:val="auto"/>
          <w:sz w:val="32"/>
          <w:szCs w:val="32"/>
        </w:rPr>
        <w:t>月</w:t>
      </w:r>
    </w:p>
    <w:p w14:paraId="4B9A1CFF">
      <w:pPr>
        <w:pStyle w:val="92"/>
        <w:spacing w:line="480" w:lineRule="auto"/>
        <w:ind w:firstLine="0"/>
        <w:rPr>
          <w:color w:val="auto"/>
          <w:sz w:val="36"/>
        </w:rPr>
      </w:pPr>
    </w:p>
    <w:p w14:paraId="35308DDF">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6E7D205F">
      <w:pPr>
        <w:pStyle w:val="4"/>
        <w:rPr>
          <w:rStyle w:val="63"/>
          <w:rFonts w:eastAsia="宋体"/>
          <w:b w:val="0"/>
          <w:sz w:val="28"/>
        </w:rPr>
      </w:pPr>
      <w:bookmarkStart w:id="3" w:name="_Toc118516209"/>
      <w:bookmarkStart w:id="4" w:name="_Toc472544470"/>
      <w:bookmarkStart w:id="5" w:name="_Toc171394907"/>
      <w:r>
        <w:t>第一</w:t>
      </w:r>
      <w:bookmarkEnd w:id="3"/>
      <w:r>
        <w:t>章 竞争性磋商公告</w:t>
      </w:r>
      <w:bookmarkEnd w:id="4"/>
      <w:bookmarkEnd w:id="5"/>
      <w:r>
        <w:t>（非政府采购项目）</w:t>
      </w:r>
    </w:p>
    <w:p w14:paraId="1E4B5B3F">
      <w:pPr>
        <w:widowControl/>
        <w:spacing w:line="360" w:lineRule="auto"/>
        <w:ind w:firstLine="480" w:firstLineChars="200"/>
        <w:rPr>
          <w:sz w:val="24"/>
          <w:shd w:val="clear" w:color="auto" w:fill="FFFFFF"/>
          <w:lang w:bidi="ar"/>
        </w:rPr>
      </w:pPr>
      <w:r>
        <w:rPr>
          <w:rFonts w:hint="eastAsia"/>
          <w:sz w:val="24"/>
          <w:shd w:val="clear" w:color="auto" w:fill="FFFFFF"/>
          <w:lang w:bidi="ar"/>
        </w:rPr>
        <w:t>浙江省人民医院</w:t>
      </w:r>
      <w:r>
        <w:rPr>
          <w:rFonts w:hint="eastAsia"/>
          <w:sz w:val="24"/>
          <w:shd w:val="clear" w:color="auto" w:fill="FFFFFF"/>
          <w:lang w:val="en-US" w:eastAsia="zh-CN" w:bidi="ar"/>
        </w:rPr>
        <w:t>富阳</w:t>
      </w:r>
      <w:r>
        <w:rPr>
          <w:rFonts w:hint="eastAsia"/>
          <w:sz w:val="24"/>
          <w:shd w:val="clear" w:color="auto" w:fill="FFFFFF"/>
          <w:lang w:bidi="ar"/>
        </w:rPr>
        <w:t>院区</w:t>
      </w:r>
      <w:r>
        <w:rPr>
          <w:rFonts w:hint="eastAsia"/>
          <w:sz w:val="24"/>
          <w:shd w:val="clear" w:color="auto" w:fill="FFFFFF"/>
          <w:lang w:eastAsia="zh-CN" w:bidi="ar"/>
        </w:rPr>
        <w:t>（</w:t>
      </w:r>
      <w:r>
        <w:rPr>
          <w:rFonts w:hint="eastAsia"/>
          <w:sz w:val="24"/>
          <w:shd w:val="clear" w:color="auto" w:fill="FFFFFF"/>
          <w:lang w:val="en-US" w:eastAsia="zh-CN" w:bidi="ar"/>
        </w:rPr>
        <w:t>江北院区</w:t>
      </w:r>
      <w:r>
        <w:rPr>
          <w:rFonts w:hint="eastAsia"/>
          <w:sz w:val="24"/>
          <w:shd w:val="clear" w:color="auto" w:fill="FFFFFF"/>
          <w:lang w:eastAsia="zh-CN" w:bidi="ar"/>
        </w:rPr>
        <w:t>）</w:t>
      </w:r>
      <w:r>
        <w:rPr>
          <w:rFonts w:hint="eastAsia"/>
          <w:sz w:val="24"/>
          <w:shd w:val="clear" w:color="auto" w:fill="FFFFFF"/>
          <w:lang w:val="en-US" w:eastAsia="zh-CN" w:bidi="ar"/>
        </w:rPr>
        <w:t>拟对江北院区污水站整体委托管理项目</w:t>
      </w:r>
      <w:r>
        <w:rPr>
          <w:sz w:val="24"/>
          <w:shd w:val="clear" w:color="auto" w:fill="FFFFFF"/>
          <w:lang w:bidi="ar"/>
        </w:rPr>
        <w:t>进行竞争性磋商采购，邀请合格供应商参加磋商。</w:t>
      </w:r>
    </w:p>
    <w:p w14:paraId="2FE88755">
      <w:pPr>
        <w:widowControl/>
        <w:spacing w:line="360" w:lineRule="auto"/>
        <w:jc w:val="left"/>
        <w:rPr>
          <w:rFonts w:hint="eastAsia" w:eastAsia="宋体"/>
          <w:sz w:val="24"/>
          <w:shd w:val="clear" w:color="auto" w:fill="FFFFFF"/>
          <w:lang w:val="en-US" w:eastAsia="zh-CN"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w:t>
      </w:r>
      <w:r>
        <w:rPr>
          <w:rFonts w:hint="eastAsia"/>
          <w:sz w:val="24"/>
          <w:shd w:val="clear" w:color="auto" w:fill="FFFFFF"/>
          <w:lang w:bidi="ar"/>
        </w:rPr>
        <w:t>院区</w:t>
      </w:r>
      <w:r>
        <w:rPr>
          <w:rFonts w:hint="eastAsia"/>
          <w:sz w:val="24"/>
          <w:shd w:val="clear" w:color="auto" w:fill="FFFFFF"/>
          <w:lang w:eastAsia="zh-CN" w:bidi="ar"/>
        </w:rPr>
        <w:t>（</w:t>
      </w:r>
      <w:r>
        <w:rPr>
          <w:rFonts w:hint="eastAsia"/>
          <w:sz w:val="24"/>
          <w:shd w:val="clear" w:color="auto" w:fill="FFFFFF"/>
          <w:lang w:val="en-US" w:eastAsia="zh-CN" w:bidi="ar"/>
        </w:rPr>
        <w:t>江北院区</w:t>
      </w:r>
      <w:r>
        <w:rPr>
          <w:rFonts w:hint="eastAsia"/>
          <w:sz w:val="24"/>
          <w:shd w:val="clear" w:color="auto" w:fill="FFFFFF"/>
          <w:lang w:eastAsia="zh-CN" w:bidi="ar"/>
        </w:rPr>
        <w:t>）</w:t>
      </w:r>
      <w:r>
        <w:rPr>
          <w:rFonts w:hint="eastAsia"/>
          <w:sz w:val="24"/>
          <w:shd w:val="clear" w:color="auto" w:fill="FFFFFF"/>
          <w:lang w:val="en-US" w:eastAsia="zh-CN" w:bidi="ar"/>
        </w:rPr>
        <w:t>污水站整体委托管理项目</w:t>
      </w:r>
    </w:p>
    <w:p w14:paraId="47DB2ED6">
      <w:pPr>
        <w:widowControl/>
        <w:spacing w:line="360" w:lineRule="auto"/>
        <w:jc w:val="left"/>
        <w:rPr>
          <w:rFonts w:hint="eastAsia"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13</w:t>
      </w:r>
      <w:r>
        <w:rPr>
          <w:rFonts w:hint="eastAsia"/>
          <w:b/>
          <w:sz w:val="24"/>
          <w:shd w:val="clear" w:color="auto" w:fill="FFFFFF"/>
          <w:lang w:bidi="ar"/>
        </w:rPr>
        <w:t>-20250</w:t>
      </w:r>
      <w:r>
        <w:rPr>
          <w:rFonts w:hint="eastAsia"/>
          <w:b/>
          <w:sz w:val="24"/>
          <w:shd w:val="clear" w:color="auto" w:fill="FFFFFF"/>
          <w:lang w:val="en-US" w:eastAsia="zh-CN" w:bidi="ar"/>
        </w:rPr>
        <w:t>8</w:t>
      </w:r>
    </w:p>
    <w:p w14:paraId="7DEF90F1">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4AC10969">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180F70D3">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59F2CE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74278396">
            <w:pPr>
              <w:widowControl/>
              <w:snapToGrid w:val="0"/>
              <w:jc w:val="center"/>
              <w:rPr>
                <w:sz w:val="24"/>
                <w:szCs w:val="24"/>
              </w:rPr>
            </w:pPr>
            <w:r>
              <w:rPr>
                <w:sz w:val="24"/>
                <w:szCs w:val="24"/>
              </w:rPr>
              <w:t>序号</w:t>
            </w:r>
          </w:p>
        </w:tc>
        <w:tc>
          <w:tcPr>
            <w:tcW w:w="3969" w:type="dxa"/>
            <w:vAlign w:val="center"/>
          </w:tcPr>
          <w:p w14:paraId="0419B8CB">
            <w:pPr>
              <w:widowControl/>
              <w:snapToGrid w:val="0"/>
              <w:jc w:val="center"/>
              <w:rPr>
                <w:sz w:val="24"/>
                <w:szCs w:val="24"/>
              </w:rPr>
            </w:pPr>
            <w:r>
              <w:rPr>
                <w:sz w:val="24"/>
                <w:szCs w:val="24"/>
              </w:rPr>
              <w:t>标项内容</w:t>
            </w:r>
          </w:p>
        </w:tc>
        <w:tc>
          <w:tcPr>
            <w:tcW w:w="1134" w:type="dxa"/>
            <w:vAlign w:val="center"/>
          </w:tcPr>
          <w:p w14:paraId="7CE96DDC">
            <w:pPr>
              <w:widowControl/>
              <w:snapToGrid w:val="0"/>
              <w:jc w:val="center"/>
              <w:rPr>
                <w:sz w:val="24"/>
                <w:szCs w:val="24"/>
              </w:rPr>
            </w:pPr>
            <w:r>
              <w:rPr>
                <w:sz w:val="24"/>
                <w:szCs w:val="24"/>
              </w:rPr>
              <w:t>服务期</w:t>
            </w:r>
          </w:p>
        </w:tc>
        <w:tc>
          <w:tcPr>
            <w:tcW w:w="1843" w:type="dxa"/>
            <w:vAlign w:val="center"/>
          </w:tcPr>
          <w:p w14:paraId="04391D7B">
            <w:pPr>
              <w:widowControl/>
              <w:snapToGrid w:val="0"/>
              <w:jc w:val="center"/>
              <w:rPr>
                <w:sz w:val="24"/>
                <w:szCs w:val="24"/>
              </w:rPr>
            </w:pPr>
            <w:r>
              <w:rPr>
                <w:sz w:val="24"/>
                <w:szCs w:val="24"/>
              </w:rPr>
              <w:t>预算金额</w:t>
            </w:r>
          </w:p>
        </w:tc>
        <w:tc>
          <w:tcPr>
            <w:tcW w:w="1212" w:type="dxa"/>
            <w:vAlign w:val="center"/>
          </w:tcPr>
          <w:p w14:paraId="7BB7D9EC">
            <w:pPr>
              <w:widowControl/>
              <w:snapToGrid w:val="0"/>
              <w:jc w:val="center"/>
              <w:rPr>
                <w:sz w:val="24"/>
                <w:szCs w:val="24"/>
              </w:rPr>
            </w:pPr>
            <w:r>
              <w:rPr>
                <w:rFonts w:hint="eastAsia"/>
                <w:sz w:val="24"/>
                <w:szCs w:val="24"/>
              </w:rPr>
              <w:t>项目概况</w:t>
            </w:r>
          </w:p>
        </w:tc>
      </w:tr>
      <w:tr w14:paraId="36D576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77B35365">
            <w:pPr>
              <w:widowControl/>
              <w:spacing w:line="360" w:lineRule="auto"/>
              <w:ind w:left="60" w:right="60"/>
              <w:jc w:val="center"/>
              <w:rPr>
                <w:sz w:val="24"/>
                <w:szCs w:val="24"/>
              </w:rPr>
            </w:pPr>
            <w:r>
              <w:rPr>
                <w:sz w:val="24"/>
                <w:szCs w:val="24"/>
              </w:rPr>
              <w:t>1</w:t>
            </w:r>
          </w:p>
        </w:tc>
        <w:tc>
          <w:tcPr>
            <w:tcW w:w="3969" w:type="dxa"/>
            <w:vAlign w:val="center"/>
          </w:tcPr>
          <w:p w14:paraId="584EEB49">
            <w:pPr>
              <w:widowControl/>
              <w:snapToGrid w:val="0"/>
              <w:jc w:val="center"/>
              <w:rPr>
                <w:sz w:val="24"/>
                <w:szCs w:val="24"/>
              </w:rPr>
            </w:pPr>
            <w:r>
              <w:rPr>
                <w:rFonts w:hint="eastAsia"/>
                <w:sz w:val="24"/>
                <w:shd w:val="clear" w:color="auto" w:fill="FFFFFF"/>
                <w:lang w:bidi="ar"/>
              </w:rPr>
              <w:t>浙江省人民医院</w:t>
            </w:r>
            <w:r>
              <w:rPr>
                <w:rFonts w:hint="eastAsia"/>
                <w:sz w:val="24"/>
                <w:shd w:val="clear" w:color="auto" w:fill="FFFFFF"/>
                <w:lang w:val="en-US" w:eastAsia="zh-CN" w:bidi="ar"/>
              </w:rPr>
              <w:t>富阳</w:t>
            </w:r>
            <w:r>
              <w:rPr>
                <w:rFonts w:hint="eastAsia"/>
                <w:sz w:val="24"/>
                <w:shd w:val="clear" w:color="auto" w:fill="FFFFFF"/>
                <w:lang w:bidi="ar"/>
              </w:rPr>
              <w:t>院区</w:t>
            </w:r>
            <w:r>
              <w:rPr>
                <w:rFonts w:hint="eastAsia"/>
                <w:sz w:val="24"/>
                <w:shd w:val="clear" w:color="auto" w:fill="FFFFFF"/>
                <w:lang w:eastAsia="zh-CN" w:bidi="ar"/>
              </w:rPr>
              <w:t>（</w:t>
            </w:r>
            <w:r>
              <w:rPr>
                <w:rFonts w:hint="eastAsia"/>
                <w:sz w:val="24"/>
                <w:shd w:val="clear" w:color="auto" w:fill="FFFFFF"/>
                <w:lang w:val="en-US" w:eastAsia="zh-CN" w:bidi="ar"/>
              </w:rPr>
              <w:t>江北院区</w:t>
            </w:r>
            <w:r>
              <w:rPr>
                <w:rFonts w:hint="eastAsia"/>
                <w:sz w:val="24"/>
                <w:shd w:val="clear" w:color="auto" w:fill="FFFFFF"/>
                <w:lang w:eastAsia="zh-CN" w:bidi="ar"/>
              </w:rPr>
              <w:t>）</w:t>
            </w:r>
            <w:r>
              <w:rPr>
                <w:rFonts w:hint="eastAsia"/>
                <w:sz w:val="24"/>
                <w:shd w:val="clear" w:color="auto" w:fill="FFFFFF"/>
                <w:lang w:val="en-US" w:eastAsia="zh-CN" w:bidi="ar"/>
              </w:rPr>
              <w:t>污水站整体委托管理项目</w:t>
            </w:r>
          </w:p>
        </w:tc>
        <w:tc>
          <w:tcPr>
            <w:tcW w:w="1134" w:type="dxa"/>
            <w:vAlign w:val="center"/>
          </w:tcPr>
          <w:p w14:paraId="0A116BD1">
            <w:pPr>
              <w:jc w:val="center"/>
              <w:rPr>
                <w:sz w:val="24"/>
                <w:szCs w:val="24"/>
              </w:rPr>
            </w:pPr>
            <w:r>
              <w:rPr>
                <w:sz w:val="24"/>
                <w:szCs w:val="24"/>
              </w:rPr>
              <w:t>1年</w:t>
            </w:r>
          </w:p>
        </w:tc>
        <w:tc>
          <w:tcPr>
            <w:tcW w:w="1843" w:type="dxa"/>
            <w:vAlign w:val="center"/>
          </w:tcPr>
          <w:p w14:paraId="2AE5417B">
            <w:pPr>
              <w:jc w:val="center"/>
              <w:rPr>
                <w:sz w:val="24"/>
                <w:szCs w:val="24"/>
              </w:rPr>
            </w:pPr>
            <w:r>
              <w:rPr>
                <w:rFonts w:hint="eastAsia"/>
                <w:sz w:val="24"/>
                <w:szCs w:val="24"/>
                <w:lang w:val="en-US" w:eastAsia="zh-CN"/>
              </w:rPr>
              <w:t>27.9</w:t>
            </w:r>
            <w:r>
              <w:rPr>
                <w:rFonts w:hint="eastAsia"/>
                <w:sz w:val="24"/>
                <w:szCs w:val="24"/>
              </w:rPr>
              <w:t>万元</w:t>
            </w:r>
          </w:p>
        </w:tc>
        <w:tc>
          <w:tcPr>
            <w:tcW w:w="1212" w:type="dxa"/>
            <w:vAlign w:val="center"/>
          </w:tcPr>
          <w:p w14:paraId="753BDA24">
            <w:pPr>
              <w:jc w:val="center"/>
              <w:rPr>
                <w:sz w:val="24"/>
                <w:szCs w:val="24"/>
              </w:rPr>
            </w:pPr>
            <w:r>
              <w:rPr>
                <w:rFonts w:hint="eastAsia"/>
                <w:sz w:val="24"/>
                <w:szCs w:val="24"/>
              </w:rPr>
              <w:t>详见采购需求</w:t>
            </w:r>
          </w:p>
        </w:tc>
      </w:tr>
    </w:tbl>
    <w:p w14:paraId="75500249">
      <w:pPr>
        <w:widowControl/>
        <w:spacing w:line="360" w:lineRule="auto"/>
        <w:jc w:val="left"/>
        <w:rPr>
          <w:sz w:val="24"/>
          <w:szCs w:val="24"/>
        </w:rPr>
      </w:pPr>
      <w:r>
        <w:rPr>
          <w:b/>
          <w:sz w:val="24"/>
          <w:szCs w:val="24"/>
          <w:shd w:val="clear" w:color="auto" w:fill="FFFFFF"/>
          <w:lang w:bidi="ar"/>
        </w:rPr>
        <w:t>六、供应商资格条件要求：</w:t>
      </w:r>
    </w:p>
    <w:p w14:paraId="20053C3C">
      <w:pPr>
        <w:widowControl/>
        <w:snapToGrid w:val="0"/>
        <w:spacing w:line="360" w:lineRule="auto"/>
        <w:rPr>
          <w:sz w:val="24"/>
          <w:szCs w:val="24"/>
        </w:rPr>
      </w:pPr>
      <w:r>
        <w:rPr>
          <w:sz w:val="24"/>
          <w:szCs w:val="24"/>
        </w:rPr>
        <w:t>（1）具有独立承担民事责任的能力；</w:t>
      </w:r>
    </w:p>
    <w:p w14:paraId="3489D326">
      <w:pPr>
        <w:widowControl/>
        <w:snapToGrid w:val="0"/>
        <w:spacing w:line="360" w:lineRule="auto"/>
        <w:rPr>
          <w:sz w:val="24"/>
          <w:szCs w:val="24"/>
        </w:rPr>
      </w:pPr>
      <w:r>
        <w:rPr>
          <w:sz w:val="24"/>
          <w:szCs w:val="24"/>
        </w:rPr>
        <w:t>（2）具有良好的商业信誉和健全的财务会计制度；</w:t>
      </w:r>
    </w:p>
    <w:p w14:paraId="28410E60">
      <w:pPr>
        <w:widowControl/>
        <w:snapToGrid w:val="0"/>
        <w:spacing w:line="360" w:lineRule="auto"/>
        <w:rPr>
          <w:sz w:val="24"/>
          <w:szCs w:val="24"/>
        </w:rPr>
      </w:pPr>
      <w:r>
        <w:rPr>
          <w:sz w:val="24"/>
          <w:szCs w:val="24"/>
        </w:rPr>
        <w:t>（3）具有履行合同所必需的设备和专业技术能力；</w:t>
      </w:r>
    </w:p>
    <w:p w14:paraId="618B8EB8">
      <w:pPr>
        <w:widowControl/>
        <w:snapToGrid w:val="0"/>
        <w:spacing w:line="360" w:lineRule="auto"/>
        <w:rPr>
          <w:sz w:val="24"/>
          <w:szCs w:val="24"/>
        </w:rPr>
      </w:pPr>
      <w:r>
        <w:rPr>
          <w:sz w:val="24"/>
          <w:szCs w:val="24"/>
        </w:rPr>
        <w:t>（4）有依法缴纳税收和社会保障资金的良好记录；</w:t>
      </w:r>
    </w:p>
    <w:p w14:paraId="64F1191E">
      <w:pPr>
        <w:widowControl/>
        <w:snapToGrid w:val="0"/>
        <w:spacing w:line="360" w:lineRule="auto"/>
        <w:rPr>
          <w:sz w:val="24"/>
          <w:szCs w:val="24"/>
        </w:rPr>
      </w:pPr>
      <w:r>
        <w:rPr>
          <w:sz w:val="24"/>
          <w:szCs w:val="24"/>
        </w:rPr>
        <w:t>（5）截止投标之日前三年内，在经营活动中没有重大违法记录；</w:t>
      </w:r>
    </w:p>
    <w:p w14:paraId="02FAEBC7">
      <w:pPr>
        <w:widowControl/>
        <w:snapToGrid w:val="0"/>
        <w:spacing w:line="360" w:lineRule="auto"/>
        <w:rPr>
          <w:sz w:val="24"/>
          <w:szCs w:val="24"/>
        </w:rPr>
      </w:pPr>
      <w:r>
        <w:rPr>
          <w:sz w:val="24"/>
          <w:szCs w:val="24"/>
        </w:rPr>
        <w:t>（6）法律、行政法规规定的其他条件；</w:t>
      </w:r>
    </w:p>
    <w:p w14:paraId="35A08433">
      <w:pPr>
        <w:widowControl/>
        <w:snapToGrid w:val="0"/>
        <w:spacing w:line="360" w:lineRule="auto"/>
        <w:rPr>
          <w:sz w:val="24"/>
          <w:szCs w:val="24"/>
        </w:rPr>
      </w:pPr>
      <w:r>
        <w:rPr>
          <w:sz w:val="24"/>
          <w:szCs w:val="24"/>
        </w:rPr>
        <w:t>（7）本项目不接受联合体参磋商</w:t>
      </w:r>
      <w:r>
        <w:rPr>
          <w:rFonts w:hint="eastAsia"/>
          <w:sz w:val="24"/>
          <w:szCs w:val="24"/>
        </w:rPr>
        <w:t>；</w:t>
      </w:r>
    </w:p>
    <w:p w14:paraId="643CF471">
      <w:pPr>
        <w:widowControl/>
        <w:snapToGrid w:val="0"/>
        <w:spacing w:line="360" w:lineRule="auto"/>
        <w:rPr>
          <w:sz w:val="24"/>
          <w:szCs w:val="24"/>
        </w:rPr>
      </w:pPr>
      <w:r>
        <w:rPr>
          <w:rFonts w:hint="eastAsia"/>
          <w:sz w:val="24"/>
          <w:szCs w:val="24"/>
        </w:rPr>
        <w:t>（8）特定资格条件：无。</w:t>
      </w:r>
    </w:p>
    <w:p w14:paraId="33B626CD">
      <w:pPr>
        <w:widowControl/>
        <w:spacing w:line="360" w:lineRule="auto"/>
        <w:jc w:val="left"/>
        <w:rPr>
          <w:sz w:val="24"/>
          <w:szCs w:val="24"/>
        </w:rPr>
      </w:pPr>
      <w:r>
        <w:rPr>
          <w:b/>
          <w:sz w:val="24"/>
          <w:szCs w:val="24"/>
          <w:shd w:val="clear" w:color="auto" w:fill="FFFFFF"/>
          <w:lang w:bidi="ar"/>
        </w:rPr>
        <w:t>六、供应商资格条件要求：</w:t>
      </w:r>
    </w:p>
    <w:p w14:paraId="5A6FBA6B">
      <w:pPr>
        <w:widowControl/>
        <w:snapToGrid w:val="0"/>
        <w:spacing w:line="360" w:lineRule="auto"/>
        <w:rPr>
          <w:sz w:val="24"/>
          <w:szCs w:val="24"/>
        </w:rPr>
      </w:pPr>
      <w:r>
        <w:rPr>
          <w:sz w:val="24"/>
          <w:szCs w:val="24"/>
        </w:rPr>
        <w:t>（1）具有独立承担民事责任的能力；</w:t>
      </w:r>
    </w:p>
    <w:p w14:paraId="17613E89">
      <w:pPr>
        <w:widowControl/>
        <w:snapToGrid w:val="0"/>
        <w:spacing w:line="360" w:lineRule="auto"/>
        <w:rPr>
          <w:sz w:val="24"/>
          <w:szCs w:val="24"/>
        </w:rPr>
      </w:pPr>
      <w:r>
        <w:rPr>
          <w:sz w:val="24"/>
          <w:szCs w:val="24"/>
        </w:rPr>
        <w:t>（2）具有良好的商业信誉和健全的财务会计制度；</w:t>
      </w:r>
    </w:p>
    <w:p w14:paraId="36DF2CAD">
      <w:pPr>
        <w:widowControl/>
        <w:snapToGrid w:val="0"/>
        <w:spacing w:line="360" w:lineRule="auto"/>
        <w:rPr>
          <w:sz w:val="24"/>
          <w:szCs w:val="24"/>
        </w:rPr>
      </w:pPr>
      <w:r>
        <w:rPr>
          <w:sz w:val="24"/>
          <w:szCs w:val="24"/>
        </w:rPr>
        <w:t>（3）具有履行合同所必需的设备和专业技术能力；</w:t>
      </w:r>
    </w:p>
    <w:p w14:paraId="208C0EF9">
      <w:pPr>
        <w:widowControl/>
        <w:snapToGrid w:val="0"/>
        <w:spacing w:line="360" w:lineRule="auto"/>
        <w:rPr>
          <w:sz w:val="24"/>
          <w:szCs w:val="24"/>
        </w:rPr>
      </w:pPr>
      <w:r>
        <w:rPr>
          <w:sz w:val="24"/>
          <w:szCs w:val="24"/>
        </w:rPr>
        <w:t>（4）有依法缴纳税收和社会保障资金的良好记录；</w:t>
      </w:r>
    </w:p>
    <w:p w14:paraId="6124BC2A">
      <w:pPr>
        <w:widowControl/>
        <w:snapToGrid w:val="0"/>
        <w:spacing w:line="360" w:lineRule="auto"/>
        <w:rPr>
          <w:sz w:val="24"/>
          <w:szCs w:val="24"/>
        </w:rPr>
      </w:pPr>
      <w:r>
        <w:rPr>
          <w:sz w:val="24"/>
          <w:szCs w:val="24"/>
        </w:rPr>
        <w:t>（5）截止投标之日前三年内，在经营活动中没有重大违法记录；</w:t>
      </w:r>
    </w:p>
    <w:p w14:paraId="11A9D3E9">
      <w:pPr>
        <w:widowControl/>
        <w:snapToGrid w:val="0"/>
        <w:spacing w:line="360" w:lineRule="auto"/>
        <w:rPr>
          <w:sz w:val="24"/>
          <w:szCs w:val="24"/>
        </w:rPr>
      </w:pPr>
      <w:r>
        <w:rPr>
          <w:sz w:val="24"/>
          <w:szCs w:val="24"/>
        </w:rPr>
        <w:t>（6）法律、行政法规规定的其他条件；</w:t>
      </w:r>
    </w:p>
    <w:p w14:paraId="5DDB3E32">
      <w:pPr>
        <w:widowControl/>
        <w:snapToGrid w:val="0"/>
        <w:spacing w:line="360" w:lineRule="auto"/>
        <w:rPr>
          <w:sz w:val="24"/>
          <w:szCs w:val="24"/>
        </w:rPr>
      </w:pPr>
      <w:r>
        <w:rPr>
          <w:sz w:val="24"/>
          <w:szCs w:val="24"/>
        </w:rPr>
        <w:t>（7）本项目不接受联合体参磋商</w:t>
      </w:r>
      <w:r>
        <w:rPr>
          <w:rFonts w:hint="eastAsia"/>
          <w:sz w:val="24"/>
          <w:szCs w:val="24"/>
        </w:rPr>
        <w:t>；</w:t>
      </w:r>
    </w:p>
    <w:p w14:paraId="7C1D4A05">
      <w:pPr>
        <w:widowControl/>
        <w:snapToGrid w:val="0"/>
        <w:spacing w:line="360" w:lineRule="auto"/>
        <w:rPr>
          <w:sz w:val="24"/>
          <w:szCs w:val="24"/>
        </w:rPr>
      </w:pPr>
      <w:r>
        <w:rPr>
          <w:rFonts w:hint="eastAsia"/>
          <w:sz w:val="24"/>
          <w:szCs w:val="24"/>
        </w:rPr>
        <w:t>（8）特定资格条件：无。</w:t>
      </w:r>
    </w:p>
    <w:p w14:paraId="1C357CAE">
      <w:pPr>
        <w:widowControl/>
        <w:snapToGrid w:val="0"/>
        <w:spacing w:line="360" w:lineRule="auto"/>
        <w:rPr>
          <w:sz w:val="24"/>
          <w:szCs w:val="24"/>
        </w:rPr>
      </w:pPr>
      <w:r>
        <w:rPr>
          <w:b/>
          <w:sz w:val="24"/>
          <w:szCs w:val="24"/>
        </w:rPr>
        <w:t>七、获取采购文件：</w:t>
      </w:r>
    </w:p>
    <w:p w14:paraId="6791BE86">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08</w:t>
      </w:r>
      <w:r>
        <w:rPr>
          <w:rFonts w:hint="eastAsia"/>
          <w:sz w:val="24"/>
          <w:szCs w:val="24"/>
        </w:rPr>
        <w:t>月</w:t>
      </w:r>
      <w:r>
        <w:rPr>
          <w:rFonts w:hint="eastAsia"/>
          <w:sz w:val="24"/>
          <w:szCs w:val="24"/>
          <w:lang w:val="en-US" w:eastAsia="zh-CN"/>
        </w:rPr>
        <w:t>19</w:t>
      </w:r>
      <w:r>
        <w:rPr>
          <w:rFonts w:hint="eastAsia"/>
          <w:sz w:val="24"/>
          <w:szCs w:val="24"/>
        </w:rPr>
        <w:t>日</w:t>
      </w:r>
      <w:r>
        <w:rPr>
          <w:rFonts w:hint="eastAsia"/>
          <w:sz w:val="24"/>
          <w:szCs w:val="24"/>
          <w:lang w:val="en-US" w:eastAsia="zh-CN"/>
        </w:rPr>
        <w:t>17</w:t>
      </w:r>
      <w:r>
        <w:rPr>
          <w:rFonts w:hint="eastAsia"/>
          <w:sz w:val="24"/>
          <w:szCs w:val="24"/>
        </w:rPr>
        <w:t>:00止</w:t>
      </w:r>
    </w:p>
    <w:p w14:paraId="7BFBFDF8">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0419AB2B">
      <w:pPr>
        <w:widowControl/>
        <w:snapToGrid w:val="0"/>
        <w:spacing w:line="360" w:lineRule="auto"/>
        <w:rPr>
          <w:sz w:val="24"/>
          <w:szCs w:val="24"/>
        </w:rPr>
      </w:pPr>
      <w:r>
        <w:rPr>
          <w:sz w:val="24"/>
          <w:szCs w:val="24"/>
        </w:rPr>
        <w:t>（3）采购机构将拒绝接受非报名供应商参与磋商。</w:t>
      </w:r>
    </w:p>
    <w:p w14:paraId="7C98C2FB">
      <w:pPr>
        <w:widowControl/>
        <w:snapToGrid w:val="0"/>
        <w:spacing w:line="360" w:lineRule="auto"/>
        <w:rPr>
          <w:sz w:val="24"/>
          <w:szCs w:val="24"/>
        </w:rPr>
      </w:pPr>
      <w:r>
        <w:rPr>
          <w:sz w:val="24"/>
          <w:szCs w:val="24"/>
        </w:rPr>
        <w:t>八、</w:t>
      </w:r>
      <w:r>
        <w:rPr>
          <w:rFonts w:hint="eastAsia"/>
          <w:sz w:val="24"/>
          <w:szCs w:val="24"/>
        </w:rPr>
        <w:t>响应</w:t>
      </w:r>
      <w:r>
        <w:rPr>
          <w:sz w:val="24"/>
          <w:szCs w:val="24"/>
        </w:rPr>
        <w:t>文件递交时间与地点：</w:t>
      </w:r>
    </w:p>
    <w:p w14:paraId="43902C79">
      <w:pPr>
        <w:widowControl/>
        <w:snapToGrid w:val="0"/>
        <w:spacing w:line="360" w:lineRule="auto"/>
        <w:rPr>
          <w:sz w:val="24"/>
          <w:szCs w:val="24"/>
        </w:rPr>
      </w:pPr>
      <w:r>
        <w:rPr>
          <w:rFonts w:hint="eastAsia"/>
          <w:sz w:val="24"/>
          <w:szCs w:val="24"/>
        </w:rPr>
        <w:t>供应商应于2025年</w:t>
      </w:r>
      <w:r>
        <w:rPr>
          <w:rFonts w:hint="eastAsia"/>
          <w:sz w:val="24"/>
          <w:szCs w:val="24"/>
          <w:lang w:val="en-US" w:eastAsia="zh-CN"/>
        </w:rPr>
        <w:t>08</w:t>
      </w:r>
      <w:r>
        <w:rPr>
          <w:rFonts w:hint="eastAsia"/>
          <w:sz w:val="24"/>
          <w:szCs w:val="24"/>
        </w:rPr>
        <w:t>月</w:t>
      </w:r>
      <w:r>
        <w:rPr>
          <w:rFonts w:hint="eastAsia"/>
          <w:sz w:val="24"/>
          <w:szCs w:val="24"/>
          <w:lang w:val="en-US" w:eastAsia="zh-CN"/>
        </w:rPr>
        <w:t>21</w:t>
      </w:r>
      <w:r>
        <w:rPr>
          <w:rFonts w:hint="eastAsia"/>
          <w:sz w:val="24"/>
          <w:szCs w:val="24"/>
        </w:rPr>
        <w:t>日</w:t>
      </w:r>
      <w:r>
        <w:rPr>
          <w:rFonts w:hint="eastAsia"/>
          <w:sz w:val="24"/>
          <w:szCs w:val="24"/>
          <w:lang w:val="en-US" w:eastAsia="zh-CN"/>
        </w:rPr>
        <w:t>上午08</w:t>
      </w:r>
      <w:r>
        <w:rPr>
          <w:rFonts w:hint="eastAsia"/>
          <w:sz w:val="24"/>
          <w:szCs w:val="24"/>
        </w:rPr>
        <w:t>:</w:t>
      </w:r>
      <w:r>
        <w:rPr>
          <w:rFonts w:hint="eastAsia"/>
          <w:sz w:val="24"/>
          <w:szCs w:val="24"/>
          <w:lang w:val="en-US" w:eastAsia="zh-CN"/>
        </w:rPr>
        <w:t>3</w:t>
      </w:r>
      <w:r>
        <w:rPr>
          <w:rFonts w:hint="eastAsia"/>
          <w:sz w:val="24"/>
          <w:szCs w:val="24"/>
        </w:rPr>
        <w:t>0至</w:t>
      </w:r>
      <w:r>
        <w:rPr>
          <w:rFonts w:hint="eastAsia"/>
          <w:sz w:val="24"/>
          <w:szCs w:val="24"/>
          <w:lang w:val="en-US" w:eastAsia="zh-CN"/>
        </w:rPr>
        <w:t>09</w:t>
      </w:r>
      <w:r>
        <w:rPr>
          <w:rFonts w:hint="eastAsia"/>
          <w:sz w:val="24"/>
          <w:szCs w:val="24"/>
        </w:rPr>
        <w:t>:</w:t>
      </w:r>
      <w:r>
        <w:rPr>
          <w:rFonts w:hint="eastAsia"/>
          <w:sz w:val="24"/>
          <w:szCs w:val="24"/>
          <w:lang w:val="en-US" w:eastAsia="zh-CN"/>
        </w:rPr>
        <w:t>00</w:t>
      </w:r>
      <w:r>
        <w:rPr>
          <w:rFonts w:hint="eastAsia"/>
          <w:sz w:val="24"/>
          <w:szCs w:val="24"/>
        </w:rPr>
        <w:t>整将响应文件密封送交到浙江省人民医院</w:t>
      </w:r>
      <w:r>
        <w:rPr>
          <w:rFonts w:hint="eastAsia"/>
          <w:sz w:val="24"/>
          <w:szCs w:val="24"/>
          <w:lang w:val="en-US" w:eastAsia="zh-CN"/>
        </w:rPr>
        <w:t>富阳院区9</w:t>
      </w:r>
      <w:r>
        <w:rPr>
          <w:rFonts w:hint="eastAsia"/>
          <w:sz w:val="24"/>
          <w:szCs w:val="24"/>
        </w:rPr>
        <w:t>号楼3楼</w:t>
      </w:r>
      <w:r>
        <w:rPr>
          <w:rFonts w:hint="eastAsia"/>
          <w:sz w:val="24"/>
          <w:szCs w:val="24"/>
          <w:lang w:val="en-US" w:eastAsia="zh-CN"/>
        </w:rPr>
        <w:t>会议室</w:t>
      </w:r>
      <w:r>
        <w:rPr>
          <w:rFonts w:hint="eastAsia"/>
          <w:sz w:val="24"/>
          <w:szCs w:val="24"/>
        </w:rPr>
        <w:t>。</w:t>
      </w:r>
    </w:p>
    <w:p w14:paraId="2DDE7054">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5B1BF012">
      <w:pPr>
        <w:widowControl/>
        <w:snapToGrid w:val="0"/>
        <w:spacing w:line="360" w:lineRule="auto"/>
        <w:rPr>
          <w:sz w:val="24"/>
          <w:szCs w:val="24"/>
        </w:rPr>
      </w:pPr>
      <w:r>
        <w:rPr>
          <w:b/>
          <w:sz w:val="24"/>
          <w:szCs w:val="24"/>
          <w:shd w:val="clear" w:color="auto" w:fill="FFFFFF"/>
          <w:lang w:bidi="ar"/>
        </w:rPr>
        <w:t>九、联系方式：</w:t>
      </w:r>
    </w:p>
    <w:p w14:paraId="5A500566">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76607EA5">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7A46108C">
      <w:pPr>
        <w:pStyle w:val="3"/>
        <w:rPr>
          <w:rFonts w:hAnsi="Times New Roman"/>
          <w:color w:val="auto"/>
        </w:rPr>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bookmarkStart w:id="47" w:name="_GoBack"/>
      <w:bookmarkEnd w:id="47"/>
    </w:p>
    <w:bookmarkEnd w:id="0"/>
    <w:p w14:paraId="28BE7950">
      <w:pPr>
        <w:pStyle w:val="16"/>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1"/>
      <w:r>
        <w:rPr>
          <w:rFonts w:ascii="Times New Roman" w:hAnsi="Times New Roman"/>
          <w:b/>
          <w:sz w:val="28"/>
          <w:szCs w:val="28"/>
        </w:rPr>
        <w:t>前附表</w:t>
      </w:r>
      <w:bookmarkEnd w:id="2"/>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sz w:val="24"/>
                <w:lang w:val="en-US" w:eastAsia="zh-CN"/>
              </w:rPr>
            </w:pPr>
            <w:r>
              <w:rPr>
                <w:rFonts w:hint="eastAsia" w:ascii="Times New Roman" w:hAnsi="Times New Roman"/>
                <w:sz w:val="24"/>
                <w:lang w:val="en-US" w:eastAsia="zh-CN"/>
              </w:rPr>
              <w:t>本项目限价</w:t>
            </w:r>
            <w:r>
              <w:rPr>
                <w:rFonts w:hint="eastAsia" w:ascii="Times New Roman" w:hAnsi="Times New Roman"/>
                <w:sz w:val="24"/>
                <w:highlight w:val="yellow"/>
                <w:lang w:val="en-US" w:eastAsia="zh-CN"/>
              </w:rPr>
              <w:t>27.9</w:t>
            </w:r>
            <w:r>
              <w:rPr>
                <w:rFonts w:hint="eastAsia" w:ascii="Times New Roman" w:hAnsi="Times New Roman"/>
                <w:sz w:val="24"/>
                <w:lang w:val="en-US" w:eastAsia="zh-CN"/>
              </w:rPr>
              <w:t>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4"/>
      </w:pPr>
      <w:r>
        <w:rPr>
          <w:sz w:val="21"/>
          <w:szCs w:val="21"/>
        </w:rPr>
        <w:br w:type="page"/>
      </w:r>
      <w:bookmarkStart w:id="9" w:name="_Toc495317669"/>
      <w:r>
        <w:t>第二章 采购内容及需求</w:t>
      </w:r>
      <w:bookmarkEnd w:id="9"/>
    </w:p>
    <w:p w14:paraId="20D6D22F">
      <w:pPr>
        <w:pStyle w:val="5"/>
        <w:ind w:firstLine="480"/>
        <w:rPr>
          <w:rFonts w:hint="eastAsia"/>
          <w:b/>
          <w:bCs/>
          <w:sz w:val="28"/>
          <w:szCs w:val="28"/>
        </w:rPr>
      </w:pPr>
      <w:bookmarkStart w:id="10" w:name="_Toc472544471"/>
      <w:r>
        <w:rPr>
          <w:rFonts w:hint="eastAsia"/>
          <w:b/>
          <w:bCs/>
          <w:sz w:val="28"/>
          <w:szCs w:val="28"/>
        </w:rPr>
        <w:t xml:space="preserve">一、项目内容 </w:t>
      </w:r>
    </w:p>
    <w:p w14:paraId="6C4A1476">
      <w:pPr>
        <w:spacing w:line="276" w:lineRule="auto"/>
        <w:ind w:firstLine="480"/>
      </w:pPr>
      <w:r>
        <w:rPr>
          <w:rFonts w:hint="eastAsia"/>
        </w:rPr>
        <w:t>浙江省人民医院</w:t>
      </w:r>
      <w:r>
        <w:rPr>
          <w:rFonts w:hint="eastAsia"/>
          <w:lang w:val="en-US" w:eastAsia="zh-CN"/>
        </w:rPr>
        <w:t>富阳</w:t>
      </w:r>
      <w:r>
        <w:rPr>
          <w:rFonts w:hint="eastAsia"/>
        </w:rPr>
        <w:t>院区</w:t>
      </w:r>
      <w:r>
        <w:rPr>
          <w:rFonts w:hint="eastAsia"/>
          <w:lang w:eastAsia="zh-CN"/>
        </w:rPr>
        <w:t>（</w:t>
      </w:r>
      <w:r>
        <w:rPr>
          <w:rFonts w:hint="eastAsia"/>
          <w:lang w:val="en-US" w:eastAsia="zh-CN"/>
        </w:rPr>
        <w:t>江北院区</w:t>
      </w:r>
      <w:r>
        <w:rPr>
          <w:rFonts w:hint="eastAsia"/>
          <w:lang w:eastAsia="zh-CN"/>
        </w:rPr>
        <w:t>）</w:t>
      </w:r>
      <w:r>
        <w:rPr>
          <w:rFonts w:hint="eastAsia"/>
          <w:lang w:val="en-US" w:eastAsia="zh-CN"/>
        </w:rPr>
        <w:t>污水站整体委托管理项目</w:t>
      </w:r>
      <w:r>
        <w:t>内容包括</w:t>
      </w:r>
      <w:r>
        <w:rPr>
          <w:rFonts w:hint="eastAsia"/>
          <w:b/>
          <w:bCs/>
        </w:rPr>
        <w:t>污水站设施设备的日常巡检、定期保养、</w:t>
      </w:r>
      <w:r>
        <w:rPr>
          <w:rFonts w:hint="eastAsia"/>
          <w:b/>
          <w:bCs/>
          <w:lang w:val="en-US" w:eastAsia="zh-CN"/>
        </w:rPr>
        <w:t>第三方检测</w:t>
      </w:r>
      <w:r>
        <w:rPr>
          <w:rFonts w:hint="eastAsia"/>
          <w:b/>
          <w:bCs/>
        </w:rPr>
        <w:t>等</w:t>
      </w:r>
      <w:r>
        <w:t>相关内容。</w:t>
      </w:r>
    </w:p>
    <w:p w14:paraId="70FFE654">
      <w:pPr>
        <w:pStyle w:val="5"/>
        <w:tabs>
          <w:tab w:val="left" w:pos="0"/>
        </w:tabs>
        <w:spacing w:line="276" w:lineRule="auto"/>
        <w:rPr>
          <w:rFonts w:hint="eastAsia"/>
          <w:b/>
          <w:bCs/>
        </w:rPr>
      </w:pPr>
      <w:bookmarkStart w:id="11" w:name="_Toc32334"/>
      <w:r>
        <w:rPr>
          <w:rFonts w:hint="eastAsia"/>
          <w:b/>
          <w:bCs/>
        </w:rPr>
        <w:t>1.1</w:t>
      </w:r>
      <w:r>
        <w:rPr>
          <w:b/>
          <w:bCs/>
        </w:rPr>
        <w:t>服务</w:t>
      </w:r>
      <w:bookmarkEnd w:id="11"/>
      <w:r>
        <w:rPr>
          <w:rFonts w:hint="eastAsia"/>
          <w:b/>
          <w:bCs/>
        </w:rPr>
        <w:t>要求</w:t>
      </w:r>
    </w:p>
    <w:tbl>
      <w:tblPr>
        <w:tblStyle w:val="31"/>
        <w:tblW w:w="5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95"/>
        <w:gridCol w:w="4233"/>
        <w:gridCol w:w="805"/>
        <w:gridCol w:w="777"/>
        <w:gridCol w:w="1227"/>
      </w:tblGrid>
      <w:tr w14:paraId="65E1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noWrap w:val="0"/>
            <w:vAlign w:val="center"/>
          </w:tcPr>
          <w:p w14:paraId="4229976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31" w:type="pct"/>
            <w:noWrap w:val="0"/>
            <w:vAlign w:val="center"/>
          </w:tcPr>
          <w:p w14:paraId="78E282B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类型</w:t>
            </w:r>
          </w:p>
          <w:p w14:paraId="0155C1C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2206" w:type="pct"/>
            <w:noWrap w:val="0"/>
            <w:vAlign w:val="center"/>
          </w:tcPr>
          <w:p w14:paraId="42089F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内容</w:t>
            </w:r>
          </w:p>
        </w:tc>
        <w:tc>
          <w:tcPr>
            <w:tcW w:w="419" w:type="pct"/>
            <w:noWrap w:val="0"/>
            <w:vAlign w:val="center"/>
          </w:tcPr>
          <w:p w14:paraId="3514454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05" w:type="pct"/>
            <w:noWrap w:val="0"/>
            <w:vAlign w:val="center"/>
          </w:tcPr>
          <w:p w14:paraId="221D519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39" w:type="pct"/>
            <w:noWrap w:val="0"/>
            <w:vAlign w:val="center"/>
          </w:tcPr>
          <w:p w14:paraId="3DD4E5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22C8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97" w:type="pct"/>
            <w:noWrap w:val="0"/>
            <w:vAlign w:val="center"/>
          </w:tcPr>
          <w:p w14:paraId="6C0B551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一</w:t>
            </w:r>
          </w:p>
        </w:tc>
        <w:tc>
          <w:tcPr>
            <w:tcW w:w="831" w:type="pct"/>
            <w:noWrap w:val="0"/>
            <w:vAlign w:val="center"/>
          </w:tcPr>
          <w:p w14:paraId="7326889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设施设备维护</w:t>
            </w:r>
          </w:p>
        </w:tc>
        <w:tc>
          <w:tcPr>
            <w:tcW w:w="2206" w:type="pct"/>
            <w:noWrap w:val="0"/>
            <w:vAlign w:val="center"/>
          </w:tcPr>
          <w:p w14:paraId="76BA66C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b/>
                <w:bCs/>
                <w:i w:val="0"/>
                <w:iCs w:val="0"/>
                <w:color w:val="000000"/>
                <w:sz w:val="21"/>
                <w:szCs w:val="21"/>
                <w:u w:val="none"/>
              </w:rPr>
            </w:pPr>
          </w:p>
        </w:tc>
        <w:tc>
          <w:tcPr>
            <w:tcW w:w="419" w:type="pct"/>
            <w:noWrap w:val="0"/>
            <w:vAlign w:val="center"/>
          </w:tcPr>
          <w:p w14:paraId="551D5E1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b/>
                <w:bCs/>
                <w:i w:val="0"/>
                <w:iCs w:val="0"/>
                <w:color w:val="000000"/>
                <w:sz w:val="21"/>
                <w:szCs w:val="21"/>
                <w:u w:val="none"/>
              </w:rPr>
            </w:pPr>
          </w:p>
        </w:tc>
        <w:tc>
          <w:tcPr>
            <w:tcW w:w="405" w:type="pct"/>
            <w:noWrap w:val="0"/>
            <w:vAlign w:val="center"/>
          </w:tcPr>
          <w:p w14:paraId="5380EE82">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b/>
                <w:bCs/>
                <w:i w:val="0"/>
                <w:iCs w:val="0"/>
                <w:color w:val="000000"/>
                <w:sz w:val="21"/>
                <w:szCs w:val="21"/>
                <w:u w:val="none"/>
              </w:rPr>
            </w:pPr>
          </w:p>
        </w:tc>
        <w:tc>
          <w:tcPr>
            <w:tcW w:w="639" w:type="pct"/>
            <w:noWrap w:val="0"/>
            <w:vAlign w:val="center"/>
          </w:tcPr>
          <w:p w14:paraId="170F588C">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b/>
                <w:bCs/>
                <w:i w:val="0"/>
                <w:iCs w:val="0"/>
                <w:color w:val="000000"/>
                <w:sz w:val="21"/>
                <w:szCs w:val="21"/>
                <w:u w:val="none"/>
              </w:rPr>
            </w:pPr>
          </w:p>
        </w:tc>
      </w:tr>
      <w:tr w14:paraId="2B13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497" w:type="pct"/>
            <w:noWrap w:val="0"/>
            <w:vAlign w:val="center"/>
          </w:tcPr>
          <w:p w14:paraId="04FE6A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1" w:type="pct"/>
            <w:noWrap w:val="0"/>
            <w:vAlign w:val="center"/>
          </w:tcPr>
          <w:p w14:paraId="173E803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w:t>
            </w:r>
          </w:p>
          <w:p w14:paraId="1DB0292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材料</w:t>
            </w:r>
          </w:p>
        </w:tc>
        <w:tc>
          <w:tcPr>
            <w:tcW w:w="2206" w:type="pct"/>
            <w:noWrap w:val="0"/>
            <w:vAlign w:val="center"/>
          </w:tcPr>
          <w:p w14:paraId="12D467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水处理设备（污水提升泵、罗茨鼓风机、机械格栅、消毒设备、电控设备、流量计等）、废气处理设备（UV光解设备、除臭风机、喷淋泵、喷淋塔等）设备常规保养、故障维修等；紫外灯管、皮带、润滑油等损耗品定期更换；制度上墙、材料等</w:t>
            </w:r>
          </w:p>
        </w:tc>
        <w:tc>
          <w:tcPr>
            <w:tcW w:w="419" w:type="pct"/>
            <w:noWrap w:val="0"/>
            <w:vAlign w:val="center"/>
          </w:tcPr>
          <w:p w14:paraId="301398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w:t>
            </w:r>
          </w:p>
        </w:tc>
        <w:tc>
          <w:tcPr>
            <w:tcW w:w="405" w:type="pct"/>
            <w:noWrap w:val="0"/>
            <w:vAlign w:val="center"/>
          </w:tcPr>
          <w:p w14:paraId="208280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39" w:type="pct"/>
            <w:noWrap w:val="0"/>
            <w:vAlign w:val="center"/>
          </w:tcPr>
          <w:p w14:paraId="2DF408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整体保修(若设备无法修复需院方另行购置，提供换新报价)。</w:t>
            </w:r>
          </w:p>
        </w:tc>
      </w:tr>
      <w:tr w14:paraId="5764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noWrap w:val="0"/>
            <w:vAlign w:val="center"/>
          </w:tcPr>
          <w:p w14:paraId="68E584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1" w:type="pct"/>
            <w:noWrap w:val="0"/>
            <w:vAlign w:val="center"/>
          </w:tcPr>
          <w:p w14:paraId="5E094FF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人员</w:t>
            </w:r>
          </w:p>
          <w:p w14:paraId="7172513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值班</w:t>
            </w:r>
          </w:p>
        </w:tc>
        <w:tc>
          <w:tcPr>
            <w:tcW w:w="2206" w:type="pct"/>
            <w:noWrap w:val="0"/>
            <w:vAlign w:val="center"/>
          </w:tcPr>
          <w:p w14:paraId="0A4166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全年值班（含节假日）7:00~17:00</w:t>
            </w:r>
          </w:p>
        </w:tc>
        <w:tc>
          <w:tcPr>
            <w:tcW w:w="419" w:type="pct"/>
            <w:noWrap w:val="0"/>
            <w:vAlign w:val="center"/>
          </w:tcPr>
          <w:p w14:paraId="4707E7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w:t>
            </w:r>
          </w:p>
        </w:tc>
        <w:tc>
          <w:tcPr>
            <w:tcW w:w="405" w:type="pct"/>
            <w:noWrap w:val="0"/>
            <w:vAlign w:val="center"/>
          </w:tcPr>
          <w:p w14:paraId="02D259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39" w:type="pct"/>
            <w:noWrap w:val="0"/>
            <w:vAlign w:val="center"/>
          </w:tcPr>
          <w:p w14:paraId="7009E63F">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5E55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7" w:type="pct"/>
            <w:noWrap w:val="0"/>
            <w:vAlign w:val="center"/>
          </w:tcPr>
          <w:p w14:paraId="1F8BF3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w:t>
            </w:r>
          </w:p>
        </w:tc>
        <w:tc>
          <w:tcPr>
            <w:tcW w:w="831" w:type="pct"/>
            <w:noWrap w:val="0"/>
            <w:vAlign w:val="center"/>
          </w:tcPr>
          <w:p w14:paraId="5A8ABFE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排污</w:t>
            </w:r>
          </w:p>
          <w:p w14:paraId="0D7C3D2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指标</w:t>
            </w:r>
          </w:p>
          <w:p w14:paraId="504679C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检测</w:t>
            </w:r>
          </w:p>
        </w:tc>
        <w:tc>
          <w:tcPr>
            <w:tcW w:w="2206" w:type="pct"/>
            <w:noWrap w:val="0"/>
            <w:vAlign w:val="center"/>
          </w:tcPr>
          <w:p w14:paraId="080367BD">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 w:hAnsi="仿宋" w:eastAsia="仿宋" w:cs="仿宋"/>
                <w:i w:val="0"/>
                <w:iCs w:val="0"/>
                <w:color w:val="000000"/>
                <w:sz w:val="21"/>
                <w:szCs w:val="21"/>
                <w:u w:val="none"/>
              </w:rPr>
            </w:pPr>
          </w:p>
        </w:tc>
        <w:tc>
          <w:tcPr>
            <w:tcW w:w="419" w:type="pct"/>
            <w:noWrap w:val="0"/>
            <w:vAlign w:val="center"/>
          </w:tcPr>
          <w:p w14:paraId="546AD70D">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405" w:type="pct"/>
            <w:noWrap w:val="0"/>
            <w:vAlign w:val="center"/>
          </w:tcPr>
          <w:p w14:paraId="7736AE2B">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639" w:type="pct"/>
            <w:noWrap w:val="0"/>
            <w:vAlign w:val="center"/>
          </w:tcPr>
          <w:p w14:paraId="25E3BAF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22E2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97" w:type="pct"/>
            <w:noWrap w:val="0"/>
            <w:vAlign w:val="center"/>
          </w:tcPr>
          <w:p w14:paraId="1AFFDC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1" w:type="pct"/>
            <w:noWrap w:val="0"/>
            <w:vAlign w:val="center"/>
          </w:tcPr>
          <w:p w14:paraId="430B5A5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第三方检测</w:t>
            </w:r>
          </w:p>
        </w:tc>
        <w:tc>
          <w:tcPr>
            <w:tcW w:w="2206" w:type="pct"/>
            <w:noWrap w:val="0"/>
            <w:vAlign w:val="center"/>
          </w:tcPr>
          <w:p w14:paraId="2494CA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1、检测指标及次数包括：pH（手工记录：2次/天；每季度1次第三方监测）、总余氯、氨氮、COD、SS、粪大肠菌群、BOD5、石油类、挥发酚、动植物油、阴离子表面活性剂、总氰化物、沙门氏菌；志贺氏菌</w:t>
            </w:r>
          </w:p>
          <w:p w14:paraId="24A509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2、检测指标及次数包括：氨、硫化氢、臭气浓度，1次/季度</w:t>
            </w:r>
          </w:p>
        </w:tc>
        <w:tc>
          <w:tcPr>
            <w:tcW w:w="419" w:type="pct"/>
            <w:noWrap w:val="0"/>
            <w:vAlign w:val="center"/>
          </w:tcPr>
          <w:p w14:paraId="01D6C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w:t>
            </w:r>
          </w:p>
        </w:tc>
        <w:tc>
          <w:tcPr>
            <w:tcW w:w="405" w:type="pct"/>
            <w:noWrap w:val="0"/>
            <w:vAlign w:val="center"/>
          </w:tcPr>
          <w:p w14:paraId="3F4B64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39" w:type="pct"/>
            <w:noWrap w:val="0"/>
            <w:vAlign w:val="center"/>
          </w:tcPr>
          <w:p w14:paraId="3827838E">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详见排污指标检测清单</w:t>
            </w:r>
          </w:p>
        </w:tc>
      </w:tr>
      <w:tr w14:paraId="352F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noWrap w:val="0"/>
            <w:vAlign w:val="center"/>
          </w:tcPr>
          <w:p w14:paraId="1B6296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w:t>
            </w:r>
          </w:p>
        </w:tc>
        <w:tc>
          <w:tcPr>
            <w:tcW w:w="831" w:type="pct"/>
            <w:noWrap w:val="0"/>
            <w:vAlign w:val="center"/>
          </w:tcPr>
          <w:p w14:paraId="753198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药剂供应</w:t>
            </w:r>
          </w:p>
        </w:tc>
        <w:tc>
          <w:tcPr>
            <w:tcW w:w="2206" w:type="pct"/>
            <w:noWrap w:val="0"/>
            <w:vAlign w:val="center"/>
          </w:tcPr>
          <w:p w14:paraId="30377A3D">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 w:hAnsi="仿宋" w:eastAsia="仿宋" w:cs="仿宋"/>
                <w:i w:val="0"/>
                <w:iCs w:val="0"/>
                <w:color w:val="000000"/>
                <w:sz w:val="21"/>
                <w:szCs w:val="21"/>
                <w:u w:val="none"/>
              </w:rPr>
            </w:pPr>
          </w:p>
        </w:tc>
        <w:tc>
          <w:tcPr>
            <w:tcW w:w="419" w:type="pct"/>
            <w:noWrap w:val="0"/>
            <w:vAlign w:val="center"/>
          </w:tcPr>
          <w:p w14:paraId="75619238">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405" w:type="pct"/>
            <w:noWrap w:val="0"/>
            <w:vAlign w:val="center"/>
          </w:tcPr>
          <w:p w14:paraId="33F7588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639" w:type="pct"/>
            <w:noWrap w:val="0"/>
            <w:vAlign w:val="center"/>
          </w:tcPr>
          <w:p w14:paraId="6052FE6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5D5A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97" w:type="pct"/>
            <w:noWrap w:val="0"/>
            <w:vAlign w:val="center"/>
          </w:tcPr>
          <w:p w14:paraId="37B334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1" w:type="pct"/>
            <w:noWrap w:val="0"/>
            <w:vAlign w:val="center"/>
          </w:tcPr>
          <w:p w14:paraId="7B9BA9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10%次氯酸钠药剂</w:t>
            </w:r>
          </w:p>
        </w:tc>
        <w:tc>
          <w:tcPr>
            <w:tcW w:w="2206" w:type="pct"/>
            <w:noWrap w:val="0"/>
            <w:vAlign w:val="center"/>
          </w:tcPr>
          <w:p w14:paraId="0DD95D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10%次氯酸钠药剂采购、运输、储存、使用等相关服务</w:t>
            </w:r>
          </w:p>
          <w:p w14:paraId="746FB6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药剂费用（暂估医院年用水量</w:t>
            </w:r>
            <w:r>
              <w:rPr>
                <w:rFonts w:hint="eastAsia" w:ascii="仿宋" w:hAnsi="仿宋" w:cs="仿宋"/>
                <w:i w:val="0"/>
                <w:iCs w:val="0"/>
                <w:color w:val="000000"/>
                <w:kern w:val="0"/>
                <w:sz w:val="21"/>
                <w:szCs w:val="21"/>
                <w:u w:val="none"/>
                <w:lang w:val="en-US" w:eastAsia="zh-CN" w:bidi="ar"/>
              </w:rPr>
              <w:t>8</w:t>
            </w:r>
            <w:r>
              <w:rPr>
                <w:rFonts w:hint="eastAsia" w:ascii="仿宋" w:hAnsi="仿宋" w:eastAsia="仿宋" w:cs="仿宋"/>
                <w:i w:val="0"/>
                <w:iCs w:val="0"/>
                <w:color w:val="000000"/>
                <w:kern w:val="0"/>
                <w:sz w:val="21"/>
                <w:szCs w:val="21"/>
                <w:u w:val="none"/>
                <w:lang w:val="en-US" w:eastAsia="zh-CN" w:bidi="ar"/>
              </w:rPr>
              <w:t>万吨计算，以单价乘以用水量结算药剂费用）</w:t>
            </w:r>
          </w:p>
        </w:tc>
        <w:tc>
          <w:tcPr>
            <w:tcW w:w="419" w:type="pct"/>
            <w:noWrap w:val="0"/>
            <w:vAlign w:val="center"/>
          </w:tcPr>
          <w:p w14:paraId="07B06E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405" w:type="pct"/>
            <w:noWrap w:val="0"/>
            <w:vAlign w:val="center"/>
          </w:tcPr>
          <w:p w14:paraId="679D5C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医院用水量预估</w:t>
            </w:r>
            <w:r>
              <w:rPr>
                <w:rFonts w:hint="eastAsia" w:ascii="仿宋" w:hAnsi="仿宋" w:cs="仿宋"/>
                <w:i w:val="0"/>
                <w:iCs w:val="0"/>
                <w:color w:val="000000"/>
                <w:kern w:val="0"/>
                <w:sz w:val="21"/>
                <w:szCs w:val="21"/>
                <w:u w:val="none"/>
                <w:lang w:val="en-US" w:eastAsia="zh-CN" w:bidi="ar"/>
              </w:rPr>
              <w:t>8</w:t>
            </w:r>
            <w:r>
              <w:rPr>
                <w:rFonts w:hint="eastAsia" w:ascii="仿宋" w:hAnsi="仿宋" w:eastAsia="仿宋" w:cs="仿宋"/>
                <w:i w:val="0"/>
                <w:iCs w:val="0"/>
                <w:color w:val="000000"/>
                <w:kern w:val="0"/>
                <w:sz w:val="21"/>
                <w:szCs w:val="21"/>
                <w:u w:val="none"/>
                <w:lang w:val="en-US" w:eastAsia="zh-CN" w:bidi="ar"/>
              </w:rPr>
              <w:t>万吨</w:t>
            </w:r>
          </w:p>
        </w:tc>
        <w:tc>
          <w:tcPr>
            <w:tcW w:w="639" w:type="pct"/>
            <w:noWrap w:val="0"/>
            <w:vAlign w:val="center"/>
          </w:tcPr>
          <w:p w14:paraId="4597B8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预估次氯酸钠年使用量</w:t>
            </w:r>
            <w:r>
              <w:rPr>
                <w:rFonts w:hint="eastAsia" w:ascii="仿宋" w:hAnsi="仿宋" w:cs="仿宋"/>
                <w:b w:val="0"/>
                <w:bCs w:val="0"/>
                <w:i w:val="0"/>
                <w:iCs w:val="0"/>
                <w:color w:val="000000"/>
                <w:kern w:val="0"/>
                <w:sz w:val="21"/>
                <w:szCs w:val="21"/>
                <w:u w:val="none"/>
                <w:lang w:val="en-US" w:eastAsia="zh-CN" w:bidi="ar"/>
              </w:rPr>
              <w:t>30</w:t>
            </w:r>
            <w:r>
              <w:rPr>
                <w:rFonts w:hint="eastAsia" w:ascii="仿宋" w:hAnsi="仿宋" w:eastAsia="仿宋" w:cs="仿宋"/>
                <w:b w:val="0"/>
                <w:bCs w:val="0"/>
                <w:i w:val="0"/>
                <w:iCs w:val="0"/>
                <w:color w:val="000000"/>
                <w:kern w:val="0"/>
                <w:sz w:val="21"/>
                <w:szCs w:val="21"/>
                <w:u w:val="none"/>
                <w:lang w:val="en-US" w:eastAsia="zh-CN" w:bidi="ar"/>
              </w:rPr>
              <w:t>吨左右</w:t>
            </w:r>
          </w:p>
        </w:tc>
      </w:tr>
      <w:tr w14:paraId="3775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noWrap w:val="0"/>
            <w:vAlign w:val="center"/>
          </w:tcPr>
          <w:p w14:paraId="7C9D64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四</w:t>
            </w:r>
          </w:p>
        </w:tc>
        <w:tc>
          <w:tcPr>
            <w:tcW w:w="831" w:type="pct"/>
            <w:noWrap w:val="0"/>
            <w:vAlign w:val="center"/>
          </w:tcPr>
          <w:p w14:paraId="3009F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污染源在线监测维保</w:t>
            </w:r>
          </w:p>
        </w:tc>
        <w:tc>
          <w:tcPr>
            <w:tcW w:w="2206" w:type="pct"/>
            <w:noWrap w:val="0"/>
            <w:vAlign w:val="center"/>
          </w:tcPr>
          <w:p w14:paraId="78CDE81F">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 w:hAnsi="仿宋" w:eastAsia="仿宋" w:cs="仿宋"/>
                <w:i w:val="0"/>
                <w:iCs w:val="0"/>
                <w:color w:val="000000"/>
                <w:sz w:val="21"/>
                <w:szCs w:val="21"/>
                <w:u w:val="none"/>
              </w:rPr>
            </w:pPr>
          </w:p>
        </w:tc>
        <w:tc>
          <w:tcPr>
            <w:tcW w:w="419" w:type="pct"/>
            <w:noWrap w:val="0"/>
            <w:vAlign w:val="center"/>
          </w:tcPr>
          <w:p w14:paraId="7988A998">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405" w:type="pct"/>
            <w:noWrap w:val="0"/>
            <w:vAlign w:val="center"/>
          </w:tcPr>
          <w:p w14:paraId="2AD4479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639" w:type="pct"/>
            <w:noWrap w:val="0"/>
            <w:vAlign w:val="center"/>
          </w:tcPr>
          <w:p w14:paraId="608EF2B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2838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97" w:type="pct"/>
            <w:vMerge w:val="restart"/>
            <w:noWrap w:val="0"/>
            <w:vAlign w:val="center"/>
          </w:tcPr>
          <w:p w14:paraId="32D09A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1" w:type="pct"/>
            <w:vMerge w:val="restart"/>
            <w:noWrap w:val="0"/>
            <w:vAlign w:val="center"/>
          </w:tcPr>
          <w:p w14:paraId="32293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药剂耗材</w:t>
            </w:r>
          </w:p>
        </w:tc>
        <w:tc>
          <w:tcPr>
            <w:tcW w:w="2206" w:type="pct"/>
            <w:noWrap w:val="0"/>
            <w:vAlign w:val="center"/>
          </w:tcPr>
          <w:p w14:paraId="36AAD3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COD在线检测仪试剂，重铬酸钾、浓硫酸等，自动检测，12次/天</w:t>
            </w:r>
          </w:p>
        </w:tc>
        <w:tc>
          <w:tcPr>
            <w:tcW w:w="419" w:type="pct"/>
            <w:noWrap w:val="0"/>
            <w:vAlign w:val="center"/>
          </w:tcPr>
          <w:p w14:paraId="59F327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17B77A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1F5DCE5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2FFE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7" w:type="pct"/>
            <w:vMerge w:val="continue"/>
            <w:noWrap w:val="0"/>
            <w:vAlign w:val="center"/>
          </w:tcPr>
          <w:p w14:paraId="655D925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831" w:type="pct"/>
            <w:vMerge w:val="continue"/>
            <w:noWrap w:val="0"/>
            <w:vAlign w:val="center"/>
          </w:tcPr>
          <w:p w14:paraId="6B6FFAD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2206" w:type="pct"/>
            <w:noWrap w:val="0"/>
            <w:vAlign w:val="center"/>
          </w:tcPr>
          <w:p w14:paraId="19FA3A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氨氮在线检测仪试剂，纳氏试剂等，自动检测，12次/天</w:t>
            </w:r>
          </w:p>
        </w:tc>
        <w:tc>
          <w:tcPr>
            <w:tcW w:w="419" w:type="pct"/>
            <w:noWrap w:val="0"/>
            <w:vAlign w:val="center"/>
          </w:tcPr>
          <w:p w14:paraId="09638A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4F425E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6BCA047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5497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continue"/>
            <w:noWrap w:val="0"/>
            <w:vAlign w:val="center"/>
          </w:tcPr>
          <w:p w14:paraId="740EB21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831" w:type="pct"/>
            <w:vMerge w:val="continue"/>
            <w:noWrap w:val="0"/>
            <w:vAlign w:val="center"/>
          </w:tcPr>
          <w:p w14:paraId="59D713EC">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2206" w:type="pct"/>
            <w:noWrap w:val="0"/>
            <w:vAlign w:val="center"/>
          </w:tcPr>
          <w:p w14:paraId="4307C5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纯水，自动检测，12次/天</w:t>
            </w:r>
          </w:p>
        </w:tc>
        <w:tc>
          <w:tcPr>
            <w:tcW w:w="419" w:type="pct"/>
            <w:noWrap w:val="0"/>
            <w:vAlign w:val="center"/>
          </w:tcPr>
          <w:p w14:paraId="3AFF0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04DF48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3F758C0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74EE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restart"/>
            <w:noWrap w:val="0"/>
            <w:vAlign w:val="center"/>
          </w:tcPr>
          <w:p w14:paraId="167727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1" w:type="pct"/>
            <w:vMerge w:val="restart"/>
            <w:noWrap w:val="0"/>
            <w:vAlign w:val="center"/>
          </w:tcPr>
          <w:p w14:paraId="0FC691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质控校准</w:t>
            </w:r>
          </w:p>
        </w:tc>
        <w:tc>
          <w:tcPr>
            <w:tcW w:w="2206" w:type="pct"/>
            <w:noWrap w:val="0"/>
            <w:vAlign w:val="center"/>
          </w:tcPr>
          <w:p w14:paraId="136B86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COD在线检测仪质控、校准标液，1次/周</w:t>
            </w:r>
          </w:p>
        </w:tc>
        <w:tc>
          <w:tcPr>
            <w:tcW w:w="419" w:type="pct"/>
            <w:noWrap w:val="0"/>
            <w:vAlign w:val="center"/>
          </w:tcPr>
          <w:p w14:paraId="5F779E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3D785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75551C6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0946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continue"/>
            <w:noWrap w:val="0"/>
            <w:vAlign w:val="center"/>
          </w:tcPr>
          <w:p w14:paraId="019F55DD">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831" w:type="pct"/>
            <w:vMerge w:val="continue"/>
            <w:noWrap w:val="0"/>
            <w:vAlign w:val="center"/>
          </w:tcPr>
          <w:p w14:paraId="2B42F84D">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2206" w:type="pct"/>
            <w:noWrap w:val="0"/>
            <w:vAlign w:val="center"/>
          </w:tcPr>
          <w:p w14:paraId="5F5698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氨氮在线检测仪质控、校准标液，1次/周</w:t>
            </w:r>
          </w:p>
        </w:tc>
        <w:tc>
          <w:tcPr>
            <w:tcW w:w="419" w:type="pct"/>
            <w:noWrap w:val="0"/>
            <w:vAlign w:val="center"/>
          </w:tcPr>
          <w:p w14:paraId="30FC78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1F234B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7C680752">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6F39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continue"/>
            <w:noWrap w:val="0"/>
            <w:vAlign w:val="center"/>
          </w:tcPr>
          <w:p w14:paraId="4963A56C">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831" w:type="pct"/>
            <w:vMerge w:val="continue"/>
            <w:noWrap w:val="0"/>
            <w:vAlign w:val="center"/>
          </w:tcPr>
          <w:p w14:paraId="2750D03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2206" w:type="pct"/>
            <w:noWrap w:val="0"/>
            <w:vAlign w:val="center"/>
          </w:tcPr>
          <w:p w14:paraId="055EFA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pH在线检测仪质控、校准标液，1次/周</w:t>
            </w:r>
          </w:p>
        </w:tc>
        <w:tc>
          <w:tcPr>
            <w:tcW w:w="419" w:type="pct"/>
            <w:noWrap w:val="0"/>
            <w:vAlign w:val="center"/>
          </w:tcPr>
          <w:p w14:paraId="72458F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043A9C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1D32D689">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1EA7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continue"/>
            <w:noWrap w:val="0"/>
            <w:vAlign w:val="center"/>
          </w:tcPr>
          <w:p w14:paraId="113DE4A1">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831" w:type="pct"/>
            <w:vMerge w:val="continue"/>
            <w:noWrap w:val="0"/>
            <w:vAlign w:val="center"/>
          </w:tcPr>
          <w:p w14:paraId="7949303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2206" w:type="pct"/>
            <w:noWrap w:val="0"/>
            <w:vAlign w:val="center"/>
          </w:tcPr>
          <w:p w14:paraId="668B56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总氯在线检测仪质控、校准标液，1次/周</w:t>
            </w:r>
          </w:p>
        </w:tc>
        <w:tc>
          <w:tcPr>
            <w:tcW w:w="419" w:type="pct"/>
            <w:noWrap w:val="0"/>
            <w:vAlign w:val="center"/>
          </w:tcPr>
          <w:p w14:paraId="788422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3619B1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4FB123F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469D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noWrap w:val="0"/>
            <w:vAlign w:val="center"/>
          </w:tcPr>
          <w:p w14:paraId="6F4EEE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1" w:type="pct"/>
            <w:noWrap w:val="0"/>
            <w:vAlign w:val="center"/>
          </w:tcPr>
          <w:p w14:paraId="748D25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三方比对</w:t>
            </w:r>
          </w:p>
        </w:tc>
        <w:tc>
          <w:tcPr>
            <w:tcW w:w="2206" w:type="pct"/>
            <w:noWrap w:val="0"/>
            <w:vAlign w:val="center"/>
          </w:tcPr>
          <w:p w14:paraId="08C7CB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指标COD、氨氮、pH比对测试，1次/月</w:t>
            </w:r>
          </w:p>
        </w:tc>
        <w:tc>
          <w:tcPr>
            <w:tcW w:w="419" w:type="pct"/>
            <w:noWrap w:val="0"/>
            <w:vAlign w:val="center"/>
          </w:tcPr>
          <w:p w14:paraId="4A27B7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411216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13E9C14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1243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7" w:type="pct"/>
            <w:noWrap w:val="0"/>
            <w:vAlign w:val="center"/>
          </w:tcPr>
          <w:p w14:paraId="296A3F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1" w:type="pct"/>
            <w:noWrap w:val="0"/>
            <w:vAlign w:val="center"/>
          </w:tcPr>
          <w:p w14:paraId="7B3E11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设备（含易耗品）</w:t>
            </w:r>
          </w:p>
        </w:tc>
        <w:tc>
          <w:tcPr>
            <w:tcW w:w="2206" w:type="pct"/>
            <w:noWrap w:val="0"/>
            <w:vAlign w:val="center"/>
          </w:tcPr>
          <w:p w14:paraId="7D51C1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pH电极、电路板、采样管、消解管、阀门、蠕动泵、蠕动泵管、水泵</w:t>
            </w:r>
          </w:p>
        </w:tc>
        <w:tc>
          <w:tcPr>
            <w:tcW w:w="419" w:type="pct"/>
            <w:noWrap w:val="0"/>
            <w:vAlign w:val="center"/>
          </w:tcPr>
          <w:p w14:paraId="1EF3D6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7DF1CE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682FD6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color w:val="000000"/>
                <w:sz w:val="21"/>
                <w:szCs w:val="21"/>
                <w:u w:val="none"/>
              </w:rPr>
            </w:pPr>
          </w:p>
        </w:tc>
      </w:tr>
      <w:tr w14:paraId="453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noWrap w:val="0"/>
            <w:vAlign w:val="center"/>
          </w:tcPr>
          <w:p w14:paraId="2B16B5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31" w:type="pct"/>
            <w:noWrap w:val="0"/>
            <w:vAlign w:val="center"/>
          </w:tcPr>
          <w:p w14:paraId="7D0D18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环保专网</w:t>
            </w:r>
          </w:p>
        </w:tc>
        <w:tc>
          <w:tcPr>
            <w:tcW w:w="2206" w:type="pct"/>
            <w:noWrap w:val="0"/>
            <w:vAlign w:val="center"/>
          </w:tcPr>
          <w:p w14:paraId="5D0688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环保专网</w:t>
            </w:r>
          </w:p>
        </w:tc>
        <w:tc>
          <w:tcPr>
            <w:tcW w:w="419" w:type="pct"/>
            <w:noWrap w:val="0"/>
            <w:vAlign w:val="center"/>
          </w:tcPr>
          <w:p w14:paraId="651246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3FF8F3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2B53D784">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5486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7" w:type="pct"/>
            <w:noWrap w:val="0"/>
            <w:vAlign w:val="center"/>
          </w:tcPr>
          <w:p w14:paraId="325221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31" w:type="pct"/>
            <w:noWrap w:val="0"/>
            <w:vAlign w:val="center"/>
          </w:tcPr>
          <w:p w14:paraId="4D4F0C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应急响应</w:t>
            </w:r>
          </w:p>
        </w:tc>
        <w:tc>
          <w:tcPr>
            <w:tcW w:w="2206" w:type="pct"/>
            <w:noWrap w:val="0"/>
            <w:vAlign w:val="center"/>
          </w:tcPr>
          <w:p w14:paraId="44FDDF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配合环保局主管部门、业主相关工作，超标规范作业，按1次/月计</w:t>
            </w:r>
          </w:p>
        </w:tc>
        <w:tc>
          <w:tcPr>
            <w:tcW w:w="419" w:type="pct"/>
            <w:noWrap w:val="0"/>
            <w:vAlign w:val="center"/>
          </w:tcPr>
          <w:p w14:paraId="25674B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63C36E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6B5BAD8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3AD8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restart"/>
            <w:noWrap w:val="0"/>
            <w:vAlign w:val="center"/>
          </w:tcPr>
          <w:p w14:paraId="3A42B5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31" w:type="pct"/>
            <w:vMerge w:val="restart"/>
            <w:noWrap w:val="0"/>
            <w:vAlign w:val="center"/>
          </w:tcPr>
          <w:p w14:paraId="6BA392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运维管理</w:t>
            </w:r>
          </w:p>
        </w:tc>
        <w:tc>
          <w:tcPr>
            <w:tcW w:w="2206" w:type="pct"/>
            <w:noWrap w:val="0"/>
            <w:vAlign w:val="center"/>
          </w:tcPr>
          <w:p w14:paraId="4773D6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在线维保人员专职、1名，维护、保养等</w:t>
            </w:r>
          </w:p>
        </w:tc>
        <w:tc>
          <w:tcPr>
            <w:tcW w:w="419" w:type="pct"/>
            <w:noWrap w:val="0"/>
            <w:vAlign w:val="center"/>
          </w:tcPr>
          <w:p w14:paraId="6FB259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215C55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4D2DAB8C">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440E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continue"/>
            <w:noWrap w:val="0"/>
            <w:vAlign w:val="center"/>
          </w:tcPr>
          <w:p w14:paraId="7ACC17BC">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831" w:type="pct"/>
            <w:vMerge w:val="continue"/>
            <w:noWrap w:val="0"/>
            <w:vAlign w:val="center"/>
          </w:tcPr>
          <w:p w14:paraId="3AF65EE6">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2206" w:type="pct"/>
            <w:noWrap w:val="0"/>
            <w:vAlign w:val="center"/>
          </w:tcPr>
          <w:p w14:paraId="7A339E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交通费，车辆使用、油费、停车费等</w:t>
            </w:r>
          </w:p>
        </w:tc>
        <w:tc>
          <w:tcPr>
            <w:tcW w:w="419" w:type="pct"/>
            <w:noWrap w:val="0"/>
            <w:vAlign w:val="center"/>
          </w:tcPr>
          <w:p w14:paraId="5CC85F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477D83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4A0D9D0F">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r>
      <w:tr w14:paraId="3C3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7" w:type="pct"/>
            <w:vMerge w:val="continue"/>
            <w:noWrap w:val="0"/>
            <w:vAlign w:val="center"/>
          </w:tcPr>
          <w:p w14:paraId="45104D34">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831" w:type="pct"/>
            <w:vMerge w:val="continue"/>
            <w:noWrap w:val="0"/>
            <w:vAlign w:val="center"/>
          </w:tcPr>
          <w:p w14:paraId="4A8DA5CA">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i w:val="0"/>
                <w:iCs w:val="0"/>
                <w:color w:val="000000"/>
                <w:sz w:val="21"/>
                <w:szCs w:val="21"/>
                <w:u w:val="none"/>
              </w:rPr>
            </w:pPr>
          </w:p>
        </w:tc>
        <w:tc>
          <w:tcPr>
            <w:tcW w:w="2206" w:type="pct"/>
            <w:noWrap w:val="0"/>
            <w:vAlign w:val="center"/>
          </w:tcPr>
          <w:p w14:paraId="1019AD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管理费培训、督查、资料费、税费等</w:t>
            </w:r>
          </w:p>
        </w:tc>
        <w:tc>
          <w:tcPr>
            <w:tcW w:w="419" w:type="pct"/>
            <w:noWrap w:val="0"/>
            <w:vAlign w:val="center"/>
          </w:tcPr>
          <w:p w14:paraId="4CE7DC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年</w:t>
            </w:r>
          </w:p>
        </w:tc>
        <w:tc>
          <w:tcPr>
            <w:tcW w:w="405" w:type="pct"/>
            <w:noWrap w:val="0"/>
            <w:vAlign w:val="center"/>
          </w:tcPr>
          <w:p w14:paraId="6240A5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cs="仿宋"/>
                <w:i w:val="0"/>
                <w:iCs w:val="0"/>
                <w:color w:val="000000"/>
                <w:kern w:val="0"/>
                <w:sz w:val="21"/>
                <w:szCs w:val="21"/>
                <w:u w:val="none"/>
                <w:lang w:val="en-US" w:eastAsia="zh-CN" w:bidi="ar"/>
              </w:rPr>
              <w:t>1</w:t>
            </w:r>
          </w:p>
        </w:tc>
        <w:tc>
          <w:tcPr>
            <w:tcW w:w="639" w:type="pct"/>
            <w:noWrap w:val="0"/>
            <w:vAlign w:val="center"/>
          </w:tcPr>
          <w:p w14:paraId="1D386643">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 w:hAnsi="仿宋" w:eastAsia="仿宋" w:cs="仿宋"/>
                <w:b/>
                <w:bCs/>
                <w:i w:val="0"/>
                <w:iCs w:val="0"/>
                <w:color w:val="000000"/>
                <w:sz w:val="21"/>
                <w:szCs w:val="21"/>
                <w:u w:val="none"/>
              </w:rPr>
            </w:pPr>
          </w:p>
        </w:tc>
      </w:tr>
    </w:tbl>
    <w:p w14:paraId="3434B7F7">
      <w:pPr>
        <w:pStyle w:val="5"/>
        <w:tabs>
          <w:tab w:val="left" w:pos="0"/>
        </w:tabs>
        <w:spacing w:line="276" w:lineRule="auto"/>
        <w:rPr>
          <w:rFonts w:hint="default"/>
          <w:b/>
          <w:bCs/>
          <w:lang w:val="en-US"/>
        </w:rPr>
      </w:pPr>
      <w:r>
        <w:rPr>
          <w:rFonts w:hint="eastAsia"/>
          <w:b/>
          <w:bCs/>
        </w:rPr>
        <w:t>1.</w:t>
      </w:r>
      <w:r>
        <w:rPr>
          <w:rFonts w:hint="eastAsia"/>
          <w:b/>
          <w:bCs/>
          <w:lang w:val="en-US" w:eastAsia="zh-CN"/>
        </w:rPr>
        <w:t>2排污指标检测清单</w:t>
      </w:r>
    </w:p>
    <w:tbl>
      <w:tblPr>
        <w:tblStyle w:val="31"/>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785"/>
        <w:gridCol w:w="1695"/>
        <w:gridCol w:w="1965"/>
        <w:gridCol w:w="1305"/>
        <w:gridCol w:w="921"/>
      </w:tblGrid>
      <w:tr w14:paraId="6ACC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310" w:type="dxa"/>
            <w:tcBorders>
              <w:tl2br w:val="nil"/>
              <w:tr2bl w:val="nil"/>
            </w:tcBorders>
            <w:noWrap/>
            <w:vAlign w:val="center"/>
          </w:tcPr>
          <w:p w14:paraId="0228BB74">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监测类别</w:t>
            </w:r>
          </w:p>
        </w:tc>
        <w:tc>
          <w:tcPr>
            <w:tcW w:w="1785" w:type="dxa"/>
            <w:tcBorders>
              <w:tl2br w:val="nil"/>
              <w:tr2bl w:val="nil"/>
            </w:tcBorders>
            <w:noWrap/>
            <w:vAlign w:val="center"/>
          </w:tcPr>
          <w:p w14:paraId="50F5E94D">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内容</w:t>
            </w:r>
          </w:p>
        </w:tc>
        <w:tc>
          <w:tcPr>
            <w:tcW w:w="1695" w:type="dxa"/>
            <w:tcBorders>
              <w:tl2br w:val="nil"/>
              <w:tr2bl w:val="nil"/>
            </w:tcBorders>
            <w:noWrap/>
            <w:vAlign w:val="center"/>
          </w:tcPr>
          <w:p w14:paraId="1D8403C3">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监测频次</w:t>
            </w:r>
          </w:p>
        </w:tc>
        <w:tc>
          <w:tcPr>
            <w:tcW w:w="1965" w:type="dxa"/>
            <w:tcBorders>
              <w:tl2br w:val="nil"/>
              <w:tr2bl w:val="nil"/>
            </w:tcBorders>
            <w:noWrap/>
            <w:vAlign w:val="center"/>
          </w:tcPr>
          <w:p w14:paraId="7A2C1B62">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执行标准</w:t>
            </w:r>
          </w:p>
        </w:tc>
        <w:tc>
          <w:tcPr>
            <w:tcW w:w="1305" w:type="dxa"/>
            <w:tcBorders>
              <w:tl2br w:val="nil"/>
              <w:tr2bl w:val="nil"/>
            </w:tcBorders>
            <w:noWrap/>
            <w:vAlign w:val="center"/>
          </w:tcPr>
          <w:p w14:paraId="556A940B">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排放浓度</w:t>
            </w:r>
          </w:p>
        </w:tc>
        <w:tc>
          <w:tcPr>
            <w:tcW w:w="921" w:type="dxa"/>
            <w:tcBorders>
              <w:tl2br w:val="nil"/>
              <w:tr2bl w:val="nil"/>
            </w:tcBorders>
            <w:noWrap/>
            <w:vAlign w:val="center"/>
          </w:tcPr>
          <w:p w14:paraId="7451EAF2">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备注</w:t>
            </w:r>
          </w:p>
        </w:tc>
      </w:tr>
      <w:tr w14:paraId="60B0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10" w:type="dxa"/>
            <w:vMerge w:val="restart"/>
            <w:tcBorders>
              <w:tl2br w:val="nil"/>
              <w:tr2bl w:val="nil"/>
            </w:tcBorders>
            <w:noWrap/>
            <w:vAlign w:val="center"/>
          </w:tcPr>
          <w:p w14:paraId="37D707B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废气（有组织）</w:t>
            </w:r>
          </w:p>
        </w:tc>
        <w:tc>
          <w:tcPr>
            <w:tcW w:w="1785" w:type="dxa"/>
            <w:tcBorders>
              <w:tl2br w:val="nil"/>
              <w:tr2bl w:val="nil"/>
            </w:tcBorders>
            <w:noWrap/>
            <w:vAlign w:val="center"/>
          </w:tcPr>
          <w:p w14:paraId="475DB16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臭气浓度</w:t>
            </w:r>
          </w:p>
        </w:tc>
        <w:tc>
          <w:tcPr>
            <w:tcW w:w="1695" w:type="dxa"/>
            <w:tcBorders>
              <w:tl2br w:val="nil"/>
              <w:tr2bl w:val="nil"/>
            </w:tcBorders>
            <w:noWrap/>
            <w:vAlign w:val="center"/>
          </w:tcPr>
          <w:p w14:paraId="40F038B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1次/季度</w:t>
            </w:r>
          </w:p>
        </w:tc>
        <w:tc>
          <w:tcPr>
            <w:tcW w:w="1965" w:type="dxa"/>
            <w:vMerge w:val="restart"/>
            <w:tcBorders>
              <w:tl2br w:val="nil"/>
              <w:tr2bl w:val="nil"/>
            </w:tcBorders>
            <w:noWrap/>
            <w:vAlign w:val="center"/>
          </w:tcPr>
          <w:p w14:paraId="41BBFCC7">
            <w:pPr>
              <w:spacing w:line="240" w:lineRule="auto"/>
              <w:ind w:left="0" w:leftChars="0" w:firstLine="0" w:firstLineChars="0"/>
              <w:jc w:val="both"/>
              <w:rPr>
                <w:rFonts w:hint="eastAsia" w:ascii="仿宋" w:hAnsi="仿宋" w:eastAsia="仿宋" w:cs="仿宋"/>
                <w:i w:val="0"/>
                <w:iCs w:val="0"/>
                <w:color w:val="000000"/>
                <w:sz w:val="20"/>
                <w:szCs w:val="20"/>
                <w:u w:val="none"/>
                <w:lang w:eastAsia="zh-CN"/>
              </w:rPr>
            </w:pPr>
            <w:r>
              <w:rPr>
                <w:rFonts w:hint="eastAsia" w:ascii="仿宋" w:hAnsi="仿宋" w:cs="仿宋"/>
                <w:i w:val="0"/>
                <w:iCs w:val="0"/>
                <w:color w:val="000000"/>
                <w:sz w:val="20"/>
                <w:szCs w:val="20"/>
                <w:u w:val="none"/>
                <w:lang w:eastAsia="zh-CN"/>
              </w:rPr>
              <w:t>《</w:t>
            </w:r>
            <w:r>
              <w:rPr>
                <w:rFonts w:hint="eastAsia" w:ascii="仿宋" w:hAnsi="仿宋" w:cs="仿宋"/>
                <w:i w:val="0"/>
                <w:iCs w:val="0"/>
                <w:color w:val="000000"/>
                <w:sz w:val="20"/>
                <w:szCs w:val="20"/>
                <w:u w:val="none"/>
                <w:lang w:val="en-US" w:eastAsia="zh-CN"/>
              </w:rPr>
              <w:t>恶臭污染物排放标准</w:t>
            </w:r>
            <w:r>
              <w:rPr>
                <w:rFonts w:hint="eastAsia" w:ascii="仿宋" w:hAnsi="仿宋" w:cs="仿宋"/>
                <w:i w:val="0"/>
                <w:iCs w:val="0"/>
                <w:color w:val="000000"/>
                <w:sz w:val="20"/>
                <w:szCs w:val="20"/>
                <w:u w:val="none"/>
                <w:lang w:eastAsia="zh-CN"/>
              </w:rPr>
              <w:t>》GB 14554-93</w:t>
            </w:r>
          </w:p>
        </w:tc>
        <w:tc>
          <w:tcPr>
            <w:tcW w:w="1305" w:type="dxa"/>
            <w:tcBorders>
              <w:tl2br w:val="nil"/>
              <w:tr2bl w:val="nil"/>
            </w:tcBorders>
            <w:noWrap/>
            <w:vAlign w:val="center"/>
          </w:tcPr>
          <w:p w14:paraId="70750C66">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2000</w:t>
            </w:r>
          </w:p>
        </w:tc>
        <w:tc>
          <w:tcPr>
            <w:tcW w:w="921" w:type="dxa"/>
            <w:tcBorders>
              <w:tl2br w:val="nil"/>
              <w:tr2bl w:val="nil"/>
            </w:tcBorders>
            <w:noWrap/>
            <w:vAlign w:val="center"/>
          </w:tcPr>
          <w:p w14:paraId="179F560C">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5E0A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noWrap/>
            <w:vAlign w:val="center"/>
          </w:tcPr>
          <w:p w14:paraId="00EB3F6A">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ign w:val="center"/>
          </w:tcPr>
          <w:p w14:paraId="6DA336D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氨（氨气）</w:t>
            </w:r>
          </w:p>
        </w:tc>
        <w:tc>
          <w:tcPr>
            <w:tcW w:w="1695" w:type="dxa"/>
            <w:tcBorders>
              <w:tl2br w:val="nil"/>
              <w:tr2bl w:val="nil"/>
            </w:tcBorders>
            <w:noWrap/>
            <w:vAlign w:val="center"/>
          </w:tcPr>
          <w:p w14:paraId="5312AFC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1次/季度</w:t>
            </w:r>
          </w:p>
        </w:tc>
        <w:tc>
          <w:tcPr>
            <w:tcW w:w="1965" w:type="dxa"/>
            <w:vMerge w:val="continue"/>
            <w:tcBorders>
              <w:tl2br w:val="nil"/>
              <w:tr2bl w:val="nil"/>
            </w:tcBorders>
            <w:noWrap/>
            <w:vAlign w:val="center"/>
          </w:tcPr>
          <w:p w14:paraId="72058F7A">
            <w:pPr>
              <w:spacing w:line="240" w:lineRule="auto"/>
              <w:ind w:left="0" w:leftChars="0" w:firstLine="0" w:firstLineChars="0"/>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20C778F6">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0.33</w:t>
            </w:r>
          </w:p>
        </w:tc>
        <w:tc>
          <w:tcPr>
            <w:tcW w:w="921" w:type="dxa"/>
            <w:tcBorders>
              <w:tl2br w:val="nil"/>
              <w:tr2bl w:val="nil"/>
            </w:tcBorders>
            <w:noWrap/>
            <w:vAlign w:val="center"/>
          </w:tcPr>
          <w:p w14:paraId="22D2AF52">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64C2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noWrap/>
            <w:vAlign w:val="center"/>
          </w:tcPr>
          <w:p w14:paraId="3145C8F8">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ign w:val="center"/>
          </w:tcPr>
          <w:p w14:paraId="4212DBC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硫化氢</w:t>
            </w:r>
          </w:p>
        </w:tc>
        <w:tc>
          <w:tcPr>
            <w:tcW w:w="1695" w:type="dxa"/>
            <w:tcBorders>
              <w:tl2br w:val="nil"/>
              <w:tr2bl w:val="nil"/>
            </w:tcBorders>
            <w:noWrap/>
            <w:vAlign w:val="center"/>
          </w:tcPr>
          <w:p w14:paraId="6374005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1次/季度</w:t>
            </w:r>
          </w:p>
        </w:tc>
        <w:tc>
          <w:tcPr>
            <w:tcW w:w="1965" w:type="dxa"/>
            <w:vMerge w:val="continue"/>
            <w:tcBorders>
              <w:tl2br w:val="nil"/>
              <w:tr2bl w:val="nil"/>
            </w:tcBorders>
            <w:noWrap/>
            <w:vAlign w:val="center"/>
          </w:tcPr>
          <w:p w14:paraId="1648EF0C">
            <w:pPr>
              <w:spacing w:line="240" w:lineRule="auto"/>
              <w:ind w:left="0" w:leftChars="0" w:firstLine="0" w:firstLineChars="0"/>
              <w:jc w:val="both"/>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4D93D4EA">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4.9</w:t>
            </w:r>
          </w:p>
        </w:tc>
        <w:tc>
          <w:tcPr>
            <w:tcW w:w="921" w:type="dxa"/>
            <w:tcBorders>
              <w:tl2br w:val="nil"/>
              <w:tr2bl w:val="nil"/>
            </w:tcBorders>
            <w:noWrap/>
            <w:vAlign w:val="center"/>
          </w:tcPr>
          <w:p w14:paraId="15E5D712">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373B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10" w:type="dxa"/>
            <w:vMerge w:val="restart"/>
            <w:tcBorders>
              <w:tl2br w:val="nil"/>
              <w:tr2bl w:val="nil"/>
            </w:tcBorders>
            <w:noWrap/>
            <w:vAlign w:val="center"/>
          </w:tcPr>
          <w:p w14:paraId="1470EE3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废水</w:t>
            </w:r>
          </w:p>
        </w:tc>
        <w:tc>
          <w:tcPr>
            <w:tcW w:w="1785" w:type="dxa"/>
            <w:tcBorders>
              <w:tl2br w:val="nil"/>
              <w:tr2bl w:val="nil"/>
            </w:tcBorders>
            <w:noWrap/>
            <w:vAlign w:val="center"/>
          </w:tcPr>
          <w:p w14:paraId="3F6E49E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pH</w:t>
            </w:r>
          </w:p>
        </w:tc>
        <w:tc>
          <w:tcPr>
            <w:tcW w:w="1695" w:type="dxa"/>
            <w:tcBorders>
              <w:tl2br w:val="nil"/>
              <w:tr2bl w:val="nil"/>
            </w:tcBorders>
            <w:noWrap/>
            <w:vAlign w:val="center"/>
          </w:tcPr>
          <w:p w14:paraId="6712B75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12小时/次</w:t>
            </w:r>
          </w:p>
        </w:tc>
        <w:tc>
          <w:tcPr>
            <w:tcW w:w="1965" w:type="dxa"/>
            <w:vMerge w:val="restart"/>
            <w:tcBorders>
              <w:tl2br w:val="nil"/>
              <w:tr2bl w:val="nil"/>
            </w:tcBorders>
            <w:noWrap w:val="0"/>
            <w:vAlign w:val="center"/>
          </w:tcPr>
          <w:p w14:paraId="3B715D1A">
            <w:pPr>
              <w:spacing w:line="240" w:lineRule="auto"/>
              <w:ind w:left="0" w:leftChars="0"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医疗机构水污染物排放标准GB18466-2005</w:t>
            </w:r>
          </w:p>
        </w:tc>
        <w:tc>
          <w:tcPr>
            <w:tcW w:w="1305" w:type="dxa"/>
            <w:tcBorders>
              <w:tl2br w:val="nil"/>
              <w:tr2bl w:val="nil"/>
            </w:tcBorders>
            <w:noWrap w:val="0"/>
            <w:vAlign w:val="center"/>
          </w:tcPr>
          <w:p w14:paraId="4FE2711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6-9</w:t>
            </w:r>
          </w:p>
        </w:tc>
        <w:tc>
          <w:tcPr>
            <w:tcW w:w="921" w:type="dxa"/>
            <w:tcBorders>
              <w:tl2br w:val="nil"/>
              <w:tr2bl w:val="nil"/>
            </w:tcBorders>
            <w:noWrap w:val="0"/>
            <w:vAlign w:val="center"/>
          </w:tcPr>
          <w:p w14:paraId="159271E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手工记录：2次/天；每季度1次第三方监测</w:t>
            </w:r>
          </w:p>
        </w:tc>
      </w:tr>
      <w:tr w14:paraId="727D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10" w:type="dxa"/>
            <w:vMerge w:val="continue"/>
            <w:tcBorders>
              <w:tl2br w:val="nil"/>
              <w:tr2bl w:val="nil"/>
            </w:tcBorders>
            <w:noWrap/>
            <w:vAlign w:val="center"/>
          </w:tcPr>
          <w:p w14:paraId="65F971A8">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0"/>
            <w:vAlign w:val="center"/>
          </w:tcPr>
          <w:p w14:paraId="0C9640F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五日生化需氧量</w:t>
            </w:r>
          </w:p>
        </w:tc>
        <w:tc>
          <w:tcPr>
            <w:tcW w:w="1695" w:type="dxa"/>
            <w:vMerge w:val="restart"/>
            <w:tcBorders>
              <w:tl2br w:val="nil"/>
              <w:tr2bl w:val="nil"/>
            </w:tcBorders>
            <w:noWrap/>
            <w:vAlign w:val="center"/>
          </w:tcPr>
          <w:p w14:paraId="7549E9A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p w14:paraId="19BD274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p w14:paraId="4AB4D00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p w14:paraId="2166954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1次/季度</w:t>
            </w:r>
          </w:p>
        </w:tc>
        <w:tc>
          <w:tcPr>
            <w:tcW w:w="1965" w:type="dxa"/>
            <w:vMerge w:val="continue"/>
            <w:tcBorders>
              <w:tl2br w:val="nil"/>
              <w:tr2bl w:val="nil"/>
            </w:tcBorders>
            <w:noWrap/>
            <w:vAlign w:val="center"/>
          </w:tcPr>
          <w:p w14:paraId="78D71E37">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571A9747">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100</w:t>
            </w:r>
          </w:p>
        </w:tc>
        <w:tc>
          <w:tcPr>
            <w:tcW w:w="921" w:type="dxa"/>
            <w:tcBorders>
              <w:tl2br w:val="nil"/>
              <w:tr2bl w:val="nil"/>
            </w:tcBorders>
            <w:noWrap/>
            <w:vAlign w:val="center"/>
          </w:tcPr>
          <w:p w14:paraId="3D7A648B">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513D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10" w:type="dxa"/>
            <w:vMerge w:val="continue"/>
            <w:tcBorders>
              <w:tl2br w:val="nil"/>
              <w:tr2bl w:val="nil"/>
            </w:tcBorders>
            <w:noWrap/>
            <w:vAlign w:val="center"/>
          </w:tcPr>
          <w:p w14:paraId="359404E7">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0"/>
            <w:vAlign w:val="center"/>
          </w:tcPr>
          <w:p w14:paraId="7D22CE2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阴离子表面活性剂</w:t>
            </w:r>
          </w:p>
        </w:tc>
        <w:tc>
          <w:tcPr>
            <w:tcW w:w="1695" w:type="dxa"/>
            <w:vMerge w:val="continue"/>
            <w:tcBorders>
              <w:tl2br w:val="nil"/>
              <w:tr2bl w:val="nil"/>
            </w:tcBorders>
            <w:noWrap/>
            <w:vAlign w:val="center"/>
          </w:tcPr>
          <w:p w14:paraId="1A3C0ED3">
            <w:pPr>
              <w:spacing w:line="240" w:lineRule="auto"/>
              <w:jc w:val="center"/>
              <w:rPr>
                <w:rFonts w:hint="eastAsia" w:ascii="仿宋" w:hAnsi="仿宋" w:eastAsia="仿宋" w:cs="仿宋"/>
                <w:i w:val="0"/>
                <w:iCs w:val="0"/>
                <w:color w:val="000000"/>
                <w:sz w:val="20"/>
                <w:szCs w:val="20"/>
                <w:u w:val="none"/>
              </w:rPr>
            </w:pPr>
          </w:p>
        </w:tc>
        <w:tc>
          <w:tcPr>
            <w:tcW w:w="1965" w:type="dxa"/>
            <w:vMerge w:val="continue"/>
            <w:tcBorders>
              <w:tl2br w:val="nil"/>
              <w:tr2bl w:val="nil"/>
            </w:tcBorders>
            <w:noWrap/>
            <w:vAlign w:val="center"/>
          </w:tcPr>
          <w:p w14:paraId="43D0992A">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163960FF">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921" w:type="dxa"/>
            <w:tcBorders>
              <w:tl2br w:val="nil"/>
              <w:tr2bl w:val="nil"/>
            </w:tcBorders>
            <w:noWrap/>
            <w:vAlign w:val="center"/>
          </w:tcPr>
          <w:p w14:paraId="5EE8B969">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5B8A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310" w:type="dxa"/>
            <w:vMerge w:val="continue"/>
            <w:tcBorders>
              <w:tl2br w:val="nil"/>
              <w:tr2bl w:val="nil"/>
            </w:tcBorders>
            <w:noWrap/>
            <w:vAlign w:val="center"/>
          </w:tcPr>
          <w:p w14:paraId="0461E28E">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0"/>
            <w:vAlign w:val="center"/>
          </w:tcPr>
          <w:p w14:paraId="0B65D6C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sz w:val="20"/>
                <w:szCs w:val="20"/>
                <w:u w:val="none"/>
                <w:shd w:val="clear" w:color="auto" w:fill="auto"/>
              </w:rPr>
            </w:pPr>
            <w:r>
              <w:rPr>
                <w:rFonts w:hint="eastAsia" w:ascii="仿宋" w:hAnsi="仿宋" w:eastAsia="仿宋" w:cs="仿宋"/>
                <w:i w:val="0"/>
                <w:iCs w:val="0"/>
                <w:color w:val="auto"/>
                <w:kern w:val="0"/>
                <w:sz w:val="20"/>
                <w:szCs w:val="20"/>
                <w:u w:val="none"/>
                <w:shd w:val="clear" w:color="auto" w:fill="auto"/>
                <w:lang w:val="en-US" w:eastAsia="zh-CN" w:bidi="ar"/>
              </w:rPr>
              <w:t>氨氮</w:t>
            </w:r>
          </w:p>
        </w:tc>
        <w:tc>
          <w:tcPr>
            <w:tcW w:w="1695" w:type="dxa"/>
            <w:vMerge w:val="continue"/>
            <w:tcBorders>
              <w:tl2br w:val="nil"/>
              <w:tr2bl w:val="nil"/>
            </w:tcBorders>
            <w:noWrap/>
            <w:vAlign w:val="center"/>
          </w:tcPr>
          <w:p w14:paraId="038A86B5">
            <w:pPr>
              <w:spacing w:line="240" w:lineRule="auto"/>
              <w:jc w:val="center"/>
              <w:rPr>
                <w:rFonts w:hint="eastAsia" w:ascii="仿宋" w:hAnsi="仿宋" w:eastAsia="仿宋" w:cs="仿宋"/>
                <w:i w:val="0"/>
                <w:iCs w:val="0"/>
                <w:color w:val="auto"/>
                <w:sz w:val="20"/>
                <w:szCs w:val="20"/>
                <w:u w:val="none"/>
                <w:shd w:val="clear" w:color="auto" w:fill="auto"/>
              </w:rPr>
            </w:pPr>
          </w:p>
        </w:tc>
        <w:tc>
          <w:tcPr>
            <w:tcW w:w="1965" w:type="dxa"/>
            <w:vMerge w:val="continue"/>
            <w:tcBorders>
              <w:tl2br w:val="nil"/>
              <w:tr2bl w:val="nil"/>
            </w:tcBorders>
            <w:noWrap w:val="0"/>
            <w:vAlign w:val="center"/>
          </w:tcPr>
          <w:p w14:paraId="030B503D">
            <w:pPr>
              <w:keepNext w:val="0"/>
              <w:keepLines w:val="0"/>
              <w:widowControl/>
              <w:suppressLineNumbers w:val="0"/>
              <w:spacing w:line="240" w:lineRule="auto"/>
              <w:jc w:val="center"/>
              <w:textAlignment w:val="center"/>
              <w:rPr>
                <w:rFonts w:hint="eastAsia" w:ascii="仿宋" w:hAnsi="仿宋" w:eastAsia="仿宋" w:cs="仿宋"/>
                <w:i w:val="0"/>
                <w:iCs w:val="0"/>
                <w:color w:val="auto"/>
                <w:sz w:val="20"/>
                <w:szCs w:val="20"/>
                <w:u w:val="none"/>
                <w:shd w:val="clear" w:color="auto" w:fill="auto"/>
              </w:rPr>
            </w:pPr>
          </w:p>
        </w:tc>
        <w:tc>
          <w:tcPr>
            <w:tcW w:w="1305" w:type="dxa"/>
            <w:tcBorders>
              <w:tl2br w:val="nil"/>
              <w:tr2bl w:val="nil"/>
            </w:tcBorders>
            <w:noWrap w:val="0"/>
            <w:vAlign w:val="center"/>
          </w:tcPr>
          <w:p w14:paraId="3892B19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sz w:val="20"/>
                <w:szCs w:val="20"/>
                <w:u w:val="none"/>
                <w:shd w:val="clear" w:color="auto" w:fill="auto"/>
                <w:lang w:val="en-US" w:eastAsia="zh-CN"/>
              </w:rPr>
            </w:pPr>
            <w:r>
              <w:rPr>
                <w:rFonts w:hint="eastAsia" w:ascii="仿宋" w:hAnsi="仿宋" w:eastAsia="仿宋" w:cs="仿宋"/>
                <w:i w:val="0"/>
                <w:iCs w:val="0"/>
                <w:color w:val="auto"/>
                <w:sz w:val="20"/>
                <w:szCs w:val="20"/>
                <w:u w:val="none"/>
                <w:shd w:val="clear" w:color="auto" w:fill="auto"/>
                <w:lang w:val="en-US" w:eastAsia="zh-CN"/>
              </w:rPr>
              <w:t>/</w:t>
            </w:r>
          </w:p>
        </w:tc>
        <w:tc>
          <w:tcPr>
            <w:tcW w:w="921" w:type="dxa"/>
            <w:tcBorders>
              <w:tl2br w:val="nil"/>
              <w:tr2bl w:val="nil"/>
            </w:tcBorders>
            <w:noWrap w:val="0"/>
            <w:vAlign w:val="center"/>
          </w:tcPr>
          <w:p w14:paraId="0061298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auto"/>
                <w:kern w:val="2"/>
                <w:sz w:val="20"/>
                <w:szCs w:val="20"/>
                <w:u w:val="none"/>
                <w:shd w:val="clear" w:color="auto" w:fill="auto"/>
                <w:lang w:val="en-US" w:eastAsia="zh-CN" w:bidi="ar-SA"/>
              </w:rPr>
            </w:pPr>
            <w:r>
              <w:rPr>
                <w:rFonts w:hint="eastAsia" w:ascii="仿宋" w:hAnsi="仿宋" w:eastAsia="仿宋" w:cs="仿宋"/>
                <w:i w:val="0"/>
                <w:iCs w:val="0"/>
                <w:color w:val="auto"/>
                <w:kern w:val="0"/>
                <w:sz w:val="20"/>
                <w:szCs w:val="20"/>
                <w:u w:val="none"/>
                <w:shd w:val="clear" w:color="auto" w:fill="auto"/>
                <w:lang w:val="en-US" w:eastAsia="zh-CN" w:bidi="ar"/>
              </w:rPr>
              <w:t>除在线监测外，每季度做一次</w:t>
            </w:r>
          </w:p>
        </w:tc>
      </w:tr>
      <w:tr w14:paraId="6103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10" w:type="dxa"/>
            <w:vMerge w:val="continue"/>
            <w:tcBorders>
              <w:tl2br w:val="nil"/>
              <w:tr2bl w:val="nil"/>
            </w:tcBorders>
            <w:noWrap/>
            <w:vAlign w:val="center"/>
          </w:tcPr>
          <w:p w14:paraId="07C3D274">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0"/>
            <w:vAlign w:val="center"/>
          </w:tcPr>
          <w:p w14:paraId="08819EE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石油类</w:t>
            </w:r>
          </w:p>
        </w:tc>
        <w:tc>
          <w:tcPr>
            <w:tcW w:w="1695" w:type="dxa"/>
            <w:vMerge w:val="continue"/>
            <w:tcBorders>
              <w:tl2br w:val="nil"/>
              <w:tr2bl w:val="nil"/>
            </w:tcBorders>
            <w:noWrap/>
            <w:vAlign w:val="center"/>
          </w:tcPr>
          <w:p w14:paraId="028518E6">
            <w:pPr>
              <w:spacing w:line="240" w:lineRule="auto"/>
              <w:jc w:val="center"/>
              <w:rPr>
                <w:rFonts w:hint="eastAsia" w:ascii="仿宋" w:hAnsi="仿宋" w:eastAsia="仿宋" w:cs="仿宋"/>
                <w:i w:val="0"/>
                <w:iCs w:val="0"/>
                <w:color w:val="000000"/>
                <w:sz w:val="20"/>
                <w:szCs w:val="20"/>
                <w:u w:val="none"/>
              </w:rPr>
            </w:pPr>
          </w:p>
        </w:tc>
        <w:tc>
          <w:tcPr>
            <w:tcW w:w="1965" w:type="dxa"/>
            <w:vMerge w:val="continue"/>
            <w:tcBorders>
              <w:tl2br w:val="nil"/>
              <w:tr2bl w:val="nil"/>
            </w:tcBorders>
            <w:noWrap/>
            <w:vAlign w:val="center"/>
          </w:tcPr>
          <w:p w14:paraId="69BC3267">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13417C35">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921" w:type="dxa"/>
            <w:tcBorders>
              <w:tl2br w:val="nil"/>
              <w:tr2bl w:val="nil"/>
            </w:tcBorders>
            <w:noWrap/>
            <w:vAlign w:val="center"/>
          </w:tcPr>
          <w:p w14:paraId="71460E74">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49AD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10" w:type="dxa"/>
            <w:vMerge w:val="continue"/>
            <w:tcBorders>
              <w:tl2br w:val="nil"/>
              <w:tr2bl w:val="nil"/>
            </w:tcBorders>
            <w:noWrap/>
            <w:vAlign w:val="center"/>
          </w:tcPr>
          <w:p w14:paraId="34EFE8CD">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ign w:val="center"/>
          </w:tcPr>
          <w:p w14:paraId="6D90FD9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动植物油</w:t>
            </w:r>
          </w:p>
        </w:tc>
        <w:tc>
          <w:tcPr>
            <w:tcW w:w="1695" w:type="dxa"/>
            <w:vMerge w:val="continue"/>
            <w:tcBorders>
              <w:tl2br w:val="nil"/>
              <w:tr2bl w:val="nil"/>
            </w:tcBorders>
            <w:noWrap/>
            <w:vAlign w:val="center"/>
          </w:tcPr>
          <w:p w14:paraId="2C27E5C0">
            <w:pPr>
              <w:spacing w:line="240" w:lineRule="auto"/>
              <w:jc w:val="center"/>
              <w:rPr>
                <w:rFonts w:hint="eastAsia" w:ascii="仿宋" w:hAnsi="仿宋" w:eastAsia="仿宋" w:cs="仿宋"/>
                <w:i w:val="0"/>
                <w:iCs w:val="0"/>
                <w:color w:val="000000"/>
                <w:sz w:val="20"/>
                <w:szCs w:val="20"/>
                <w:u w:val="none"/>
              </w:rPr>
            </w:pPr>
          </w:p>
        </w:tc>
        <w:tc>
          <w:tcPr>
            <w:tcW w:w="1965" w:type="dxa"/>
            <w:vMerge w:val="continue"/>
            <w:tcBorders>
              <w:tl2br w:val="nil"/>
              <w:tr2bl w:val="nil"/>
            </w:tcBorders>
            <w:noWrap/>
            <w:vAlign w:val="center"/>
          </w:tcPr>
          <w:p w14:paraId="4BDFB350">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074D3B9C">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921" w:type="dxa"/>
            <w:tcBorders>
              <w:tl2br w:val="nil"/>
              <w:tr2bl w:val="nil"/>
            </w:tcBorders>
            <w:noWrap/>
            <w:vAlign w:val="center"/>
          </w:tcPr>
          <w:p w14:paraId="27758C28">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180C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10" w:type="dxa"/>
            <w:vMerge w:val="continue"/>
            <w:tcBorders>
              <w:tl2br w:val="nil"/>
              <w:tr2bl w:val="nil"/>
            </w:tcBorders>
            <w:noWrap/>
            <w:vAlign w:val="center"/>
          </w:tcPr>
          <w:p w14:paraId="2499CF27">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ign w:val="center"/>
          </w:tcPr>
          <w:p w14:paraId="130512A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挥发酚</w:t>
            </w:r>
          </w:p>
        </w:tc>
        <w:tc>
          <w:tcPr>
            <w:tcW w:w="1695" w:type="dxa"/>
            <w:vMerge w:val="continue"/>
            <w:tcBorders>
              <w:tl2br w:val="nil"/>
              <w:tr2bl w:val="nil"/>
            </w:tcBorders>
            <w:noWrap/>
            <w:vAlign w:val="center"/>
          </w:tcPr>
          <w:p w14:paraId="530CDCBF">
            <w:pPr>
              <w:spacing w:line="240" w:lineRule="auto"/>
              <w:jc w:val="center"/>
              <w:rPr>
                <w:rFonts w:hint="eastAsia" w:ascii="仿宋" w:hAnsi="仿宋" w:eastAsia="仿宋" w:cs="仿宋"/>
                <w:i w:val="0"/>
                <w:iCs w:val="0"/>
                <w:color w:val="000000"/>
                <w:sz w:val="20"/>
                <w:szCs w:val="20"/>
                <w:u w:val="none"/>
              </w:rPr>
            </w:pPr>
          </w:p>
        </w:tc>
        <w:tc>
          <w:tcPr>
            <w:tcW w:w="1965" w:type="dxa"/>
            <w:vMerge w:val="continue"/>
            <w:tcBorders>
              <w:tl2br w:val="nil"/>
              <w:tr2bl w:val="nil"/>
            </w:tcBorders>
            <w:noWrap/>
            <w:vAlign w:val="center"/>
          </w:tcPr>
          <w:p w14:paraId="60DDE646">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5074A507">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921" w:type="dxa"/>
            <w:tcBorders>
              <w:tl2br w:val="nil"/>
              <w:tr2bl w:val="nil"/>
            </w:tcBorders>
            <w:noWrap/>
            <w:vAlign w:val="center"/>
          </w:tcPr>
          <w:p w14:paraId="2075AA12">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59D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10" w:type="dxa"/>
            <w:vMerge w:val="continue"/>
            <w:tcBorders>
              <w:tl2br w:val="nil"/>
              <w:tr2bl w:val="nil"/>
            </w:tcBorders>
            <w:noWrap/>
            <w:vAlign w:val="center"/>
          </w:tcPr>
          <w:p w14:paraId="7FB35243">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ign w:val="center"/>
          </w:tcPr>
          <w:p w14:paraId="2FF1EC5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总氰化物</w:t>
            </w:r>
          </w:p>
        </w:tc>
        <w:tc>
          <w:tcPr>
            <w:tcW w:w="1695" w:type="dxa"/>
            <w:vMerge w:val="continue"/>
            <w:tcBorders>
              <w:tl2br w:val="nil"/>
              <w:tr2bl w:val="nil"/>
            </w:tcBorders>
            <w:noWrap/>
            <w:vAlign w:val="center"/>
          </w:tcPr>
          <w:p w14:paraId="7EC8C64D">
            <w:pPr>
              <w:spacing w:line="240" w:lineRule="auto"/>
              <w:jc w:val="center"/>
              <w:rPr>
                <w:rFonts w:hint="eastAsia" w:ascii="仿宋" w:hAnsi="仿宋" w:eastAsia="仿宋" w:cs="仿宋"/>
                <w:i w:val="0"/>
                <w:iCs w:val="0"/>
                <w:color w:val="000000"/>
                <w:sz w:val="20"/>
                <w:szCs w:val="20"/>
                <w:u w:val="none"/>
              </w:rPr>
            </w:pPr>
          </w:p>
        </w:tc>
        <w:tc>
          <w:tcPr>
            <w:tcW w:w="1965" w:type="dxa"/>
            <w:vMerge w:val="continue"/>
            <w:tcBorders>
              <w:tl2br w:val="nil"/>
              <w:tr2bl w:val="nil"/>
            </w:tcBorders>
            <w:noWrap/>
            <w:vAlign w:val="center"/>
          </w:tcPr>
          <w:p w14:paraId="484189E2">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386D8D91">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0.5</w:t>
            </w:r>
          </w:p>
        </w:tc>
        <w:tc>
          <w:tcPr>
            <w:tcW w:w="921" w:type="dxa"/>
            <w:tcBorders>
              <w:tl2br w:val="nil"/>
              <w:tr2bl w:val="nil"/>
            </w:tcBorders>
            <w:noWrap/>
            <w:vAlign w:val="center"/>
          </w:tcPr>
          <w:p w14:paraId="463386DE">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612B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310" w:type="dxa"/>
            <w:vMerge w:val="continue"/>
            <w:tcBorders>
              <w:tl2br w:val="nil"/>
              <w:tr2bl w:val="nil"/>
            </w:tcBorders>
            <w:noWrap/>
            <w:vAlign w:val="center"/>
          </w:tcPr>
          <w:p w14:paraId="0FC22B24">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ign w:val="center"/>
          </w:tcPr>
          <w:p w14:paraId="33F81A8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总余氯</w:t>
            </w:r>
          </w:p>
        </w:tc>
        <w:tc>
          <w:tcPr>
            <w:tcW w:w="1695" w:type="dxa"/>
            <w:tcBorders>
              <w:tl2br w:val="nil"/>
              <w:tr2bl w:val="nil"/>
            </w:tcBorders>
            <w:noWrap/>
            <w:vAlign w:val="center"/>
          </w:tcPr>
          <w:p w14:paraId="2CF5EDFC">
            <w:pPr>
              <w:spacing w:line="240" w:lineRule="auto"/>
              <w:jc w:val="center"/>
              <w:rPr>
                <w:rFonts w:hint="eastAsia" w:ascii="仿宋" w:hAnsi="仿宋" w:eastAsia="仿宋" w:cs="仿宋"/>
                <w:i w:val="0"/>
                <w:iCs w:val="0"/>
                <w:color w:val="000000"/>
                <w:sz w:val="20"/>
                <w:szCs w:val="20"/>
                <w:u w:val="none"/>
              </w:rPr>
            </w:pPr>
          </w:p>
        </w:tc>
        <w:tc>
          <w:tcPr>
            <w:tcW w:w="1965" w:type="dxa"/>
            <w:vMerge w:val="continue"/>
            <w:tcBorders>
              <w:tl2br w:val="nil"/>
              <w:tr2bl w:val="nil"/>
            </w:tcBorders>
            <w:noWrap w:val="0"/>
            <w:vAlign w:val="center"/>
          </w:tcPr>
          <w:p w14:paraId="3775D6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p>
        </w:tc>
        <w:tc>
          <w:tcPr>
            <w:tcW w:w="1305" w:type="dxa"/>
            <w:tcBorders>
              <w:tl2br w:val="nil"/>
              <w:tr2bl w:val="nil"/>
            </w:tcBorders>
            <w:noWrap w:val="0"/>
            <w:vAlign w:val="center"/>
          </w:tcPr>
          <w:p w14:paraId="0359639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2-8</w:t>
            </w:r>
          </w:p>
        </w:tc>
        <w:tc>
          <w:tcPr>
            <w:tcW w:w="921" w:type="dxa"/>
            <w:tcBorders>
              <w:tl2br w:val="nil"/>
              <w:tr2bl w:val="nil"/>
            </w:tcBorders>
            <w:noWrap w:val="0"/>
            <w:vAlign w:val="center"/>
          </w:tcPr>
          <w:p w14:paraId="0641CCE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每季度一次</w:t>
            </w:r>
          </w:p>
        </w:tc>
      </w:tr>
      <w:tr w14:paraId="6F10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noWrap/>
            <w:vAlign w:val="center"/>
          </w:tcPr>
          <w:p w14:paraId="7D407E45">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ign w:val="center"/>
          </w:tcPr>
          <w:p w14:paraId="178E12C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粪大肠菌群</w:t>
            </w:r>
          </w:p>
        </w:tc>
        <w:tc>
          <w:tcPr>
            <w:tcW w:w="1695" w:type="dxa"/>
            <w:tcBorders>
              <w:tl2br w:val="nil"/>
              <w:tr2bl w:val="nil"/>
            </w:tcBorders>
            <w:noWrap/>
            <w:vAlign w:val="center"/>
          </w:tcPr>
          <w:p w14:paraId="0C77FD8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1次/月</w:t>
            </w:r>
          </w:p>
        </w:tc>
        <w:tc>
          <w:tcPr>
            <w:tcW w:w="1965" w:type="dxa"/>
            <w:vMerge w:val="continue"/>
            <w:tcBorders>
              <w:tl2br w:val="nil"/>
              <w:tr2bl w:val="nil"/>
            </w:tcBorders>
            <w:noWrap/>
            <w:vAlign w:val="center"/>
          </w:tcPr>
          <w:p w14:paraId="6D2AEE32">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6035CE8C">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5000</w:t>
            </w:r>
          </w:p>
        </w:tc>
        <w:tc>
          <w:tcPr>
            <w:tcW w:w="921" w:type="dxa"/>
            <w:tcBorders>
              <w:tl2br w:val="nil"/>
              <w:tr2bl w:val="nil"/>
            </w:tcBorders>
            <w:noWrap/>
            <w:vAlign w:val="center"/>
          </w:tcPr>
          <w:p w14:paraId="14B7E2C9">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7188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noWrap/>
            <w:vAlign w:val="center"/>
          </w:tcPr>
          <w:p w14:paraId="1AB118FA">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0"/>
            <w:vAlign w:val="center"/>
          </w:tcPr>
          <w:p w14:paraId="30F5B03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悬浮物</w:t>
            </w:r>
          </w:p>
        </w:tc>
        <w:tc>
          <w:tcPr>
            <w:tcW w:w="1695" w:type="dxa"/>
            <w:tcBorders>
              <w:tl2br w:val="nil"/>
              <w:tr2bl w:val="nil"/>
            </w:tcBorders>
            <w:noWrap/>
            <w:vAlign w:val="center"/>
          </w:tcPr>
          <w:p w14:paraId="29EC2C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1次/周</w:t>
            </w:r>
          </w:p>
        </w:tc>
        <w:tc>
          <w:tcPr>
            <w:tcW w:w="1965" w:type="dxa"/>
            <w:vMerge w:val="continue"/>
            <w:tcBorders>
              <w:tl2br w:val="nil"/>
              <w:tr2bl w:val="nil"/>
            </w:tcBorders>
            <w:noWrap/>
            <w:vAlign w:val="center"/>
          </w:tcPr>
          <w:p w14:paraId="7F7B7C3B">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1EECDA5E">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60</w:t>
            </w:r>
          </w:p>
        </w:tc>
        <w:tc>
          <w:tcPr>
            <w:tcW w:w="921" w:type="dxa"/>
            <w:tcBorders>
              <w:tl2br w:val="nil"/>
              <w:tr2bl w:val="nil"/>
            </w:tcBorders>
            <w:noWrap/>
            <w:vAlign w:val="center"/>
          </w:tcPr>
          <w:p w14:paraId="72A3D347">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r w14:paraId="4AED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10" w:type="dxa"/>
            <w:vMerge w:val="continue"/>
            <w:tcBorders>
              <w:tl2br w:val="nil"/>
              <w:tr2bl w:val="nil"/>
            </w:tcBorders>
            <w:noWrap/>
            <w:vAlign w:val="center"/>
          </w:tcPr>
          <w:p w14:paraId="51298FB3">
            <w:pPr>
              <w:spacing w:line="240" w:lineRule="auto"/>
              <w:jc w:val="center"/>
              <w:rPr>
                <w:rFonts w:hint="eastAsia" w:ascii="仿宋" w:hAnsi="仿宋" w:eastAsia="仿宋" w:cs="仿宋"/>
                <w:i w:val="0"/>
                <w:iCs w:val="0"/>
                <w:color w:val="000000"/>
                <w:sz w:val="20"/>
                <w:szCs w:val="20"/>
                <w:u w:val="none"/>
              </w:rPr>
            </w:pPr>
          </w:p>
        </w:tc>
        <w:tc>
          <w:tcPr>
            <w:tcW w:w="1785" w:type="dxa"/>
            <w:tcBorders>
              <w:tl2br w:val="nil"/>
              <w:tr2bl w:val="nil"/>
            </w:tcBorders>
            <w:noWrap w:val="0"/>
            <w:vAlign w:val="center"/>
          </w:tcPr>
          <w:p w14:paraId="0811755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化学需氧量</w:t>
            </w:r>
          </w:p>
        </w:tc>
        <w:tc>
          <w:tcPr>
            <w:tcW w:w="1695" w:type="dxa"/>
            <w:tcBorders>
              <w:tl2br w:val="nil"/>
              <w:tr2bl w:val="nil"/>
            </w:tcBorders>
            <w:noWrap/>
            <w:vAlign w:val="center"/>
          </w:tcPr>
          <w:p w14:paraId="3E4C8C6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1次/周</w:t>
            </w:r>
          </w:p>
        </w:tc>
        <w:tc>
          <w:tcPr>
            <w:tcW w:w="1965" w:type="dxa"/>
            <w:vMerge w:val="continue"/>
            <w:tcBorders>
              <w:tl2br w:val="nil"/>
              <w:tr2bl w:val="nil"/>
            </w:tcBorders>
            <w:noWrap/>
            <w:vAlign w:val="center"/>
          </w:tcPr>
          <w:p w14:paraId="1F8471FF">
            <w:pPr>
              <w:spacing w:line="240" w:lineRule="auto"/>
              <w:jc w:val="center"/>
              <w:rPr>
                <w:rFonts w:hint="eastAsia" w:ascii="仿宋" w:hAnsi="仿宋" w:eastAsia="仿宋" w:cs="仿宋"/>
                <w:i w:val="0"/>
                <w:iCs w:val="0"/>
                <w:color w:val="000000"/>
                <w:sz w:val="20"/>
                <w:szCs w:val="20"/>
                <w:u w:val="none"/>
              </w:rPr>
            </w:pPr>
          </w:p>
        </w:tc>
        <w:tc>
          <w:tcPr>
            <w:tcW w:w="1305" w:type="dxa"/>
            <w:tcBorders>
              <w:tl2br w:val="nil"/>
              <w:tr2bl w:val="nil"/>
            </w:tcBorders>
            <w:noWrap/>
            <w:vAlign w:val="center"/>
          </w:tcPr>
          <w:p w14:paraId="760C6593">
            <w:pPr>
              <w:spacing w:line="240" w:lineRule="auto"/>
              <w:ind w:left="0" w:leftChars="0" w:firstLine="0" w:firstLineChars="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250</w:t>
            </w:r>
          </w:p>
        </w:tc>
        <w:tc>
          <w:tcPr>
            <w:tcW w:w="921" w:type="dxa"/>
            <w:tcBorders>
              <w:tl2br w:val="nil"/>
              <w:tr2bl w:val="nil"/>
            </w:tcBorders>
            <w:noWrap/>
            <w:vAlign w:val="center"/>
          </w:tcPr>
          <w:p w14:paraId="7715CA72">
            <w:pPr>
              <w:spacing w:line="240" w:lineRule="auto"/>
              <w:jc w:val="center"/>
              <w:rPr>
                <w:rFonts w:hint="eastAsia" w:ascii="仿宋" w:hAnsi="仿宋" w:eastAsia="仿宋" w:cs="仿宋"/>
                <w:i w:val="0"/>
                <w:iCs w:val="0"/>
                <w:color w:val="000000"/>
                <w:kern w:val="2"/>
                <w:sz w:val="20"/>
                <w:szCs w:val="20"/>
                <w:u w:val="none"/>
                <w:lang w:val="en-US" w:eastAsia="zh-CN" w:bidi="ar-SA"/>
              </w:rPr>
            </w:pPr>
          </w:p>
        </w:tc>
      </w:tr>
    </w:tbl>
    <w:p w14:paraId="5932BE79">
      <w:pPr>
        <w:pStyle w:val="4"/>
        <w:jc w:val="both"/>
        <w:rPr>
          <w:rFonts w:hint="default" w:eastAsia="宋体"/>
          <w:lang w:val="en-US" w:eastAsia="zh-CN"/>
        </w:rPr>
      </w:pPr>
      <w:r>
        <w:rPr>
          <w:rFonts w:hint="eastAsia"/>
          <w:lang w:val="en-US" w:eastAsia="zh-CN"/>
        </w:rPr>
        <w:t>二、质量要求</w:t>
      </w:r>
    </w:p>
    <w:p w14:paraId="420431CE">
      <w:pPr>
        <w:pStyle w:val="4"/>
        <w:ind w:firstLine="480" w:firstLineChars="200"/>
        <w:jc w:val="both"/>
      </w:pPr>
      <w:r>
        <w:rPr>
          <w:rFonts w:hint="eastAsia" w:ascii="仿宋" w:hAnsi="仿宋" w:eastAsia="仿宋" w:cs="仿宋"/>
          <w:b w:val="0"/>
          <w:bCs w:val="0"/>
          <w:color w:val="auto"/>
          <w:sz w:val="24"/>
          <w:szCs w:val="24"/>
        </w:rPr>
        <w:t>污水排放满足《医疗机构水污染物排放标准》（GB18466-2005）预处理标准；废气处理质量卫生环境检测指标执行《恶臭污染物排放标准》（GB14554-93）二级标准。</w:t>
      </w:r>
    </w:p>
    <w:bookmarkEnd w:id="6"/>
    <w:bookmarkEnd w:id="10"/>
    <w:p w14:paraId="307055DD">
      <w:pPr>
        <w:pStyle w:val="4"/>
        <w:jc w:val="both"/>
        <w:rPr>
          <w:rFonts w:hint="default"/>
          <w:lang w:val="en-US" w:eastAsia="zh-CN"/>
        </w:rPr>
      </w:pPr>
      <w:r>
        <w:rPr>
          <w:rFonts w:hint="eastAsia"/>
          <w:lang w:val="en-US" w:eastAsia="zh-CN"/>
        </w:rPr>
        <w:t>三、报价要求</w:t>
      </w:r>
    </w:p>
    <w:tbl>
      <w:tblPr>
        <w:tblStyle w:val="31"/>
        <w:tblW w:w="58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162"/>
        <w:gridCol w:w="3876"/>
        <w:gridCol w:w="565"/>
        <w:gridCol w:w="740"/>
        <w:gridCol w:w="1212"/>
        <w:gridCol w:w="1293"/>
        <w:gridCol w:w="1277"/>
      </w:tblGrid>
      <w:tr w14:paraId="2733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82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仿宋_GB2312" w:cs="宋体"/>
                <w:b/>
                <w:bCs/>
                <w:i w:val="0"/>
                <w:iCs w:val="0"/>
                <w:color w:val="000000"/>
                <w:sz w:val="20"/>
                <w:szCs w:val="20"/>
                <w:u w:val="none"/>
                <w:lang w:val="en-US" w:eastAsia="zh-CN"/>
              </w:rPr>
            </w:pPr>
            <w:r>
              <w:rPr>
                <w:rFonts w:hint="eastAsia" w:ascii="仿宋_GB2312" w:hAnsi="仿宋_GB2312" w:eastAsia="仿宋_GB2312" w:cs="仿宋_GB2312"/>
                <w:sz w:val="24"/>
                <w:szCs w:val="24"/>
                <w:lang w:val="en-US" w:eastAsia="zh-CN"/>
              </w:rPr>
              <w:t>江北院区污水站整体托管管理服务项目清单报价</w:t>
            </w:r>
          </w:p>
        </w:tc>
      </w:tr>
      <w:tr w14:paraId="6CCF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9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1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类型名称</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9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0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E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C8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总价（元）</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0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EFF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E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F10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设施设备维护</w:t>
            </w:r>
          </w:p>
        </w:tc>
      </w:tr>
      <w:tr w14:paraId="1CFB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9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3D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设备材料</w:t>
            </w:r>
          </w:p>
        </w:tc>
        <w:tc>
          <w:tcPr>
            <w:tcW w:w="17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C3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设备（污水提升泵、罗茨鼓风机、机械格栅、消毒设备、电控设备、流量计等）、废气处理设备（UV光解设备、除臭风机、喷淋泵、喷淋塔等）设备常规保养、故障维修等；紫外灯管、皮带、润滑油等损耗品定期更换；制度上墙、材料等</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A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D6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D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76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4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整体保修(若设备无法修复需院方另行购置，提供换新报价)。</w:t>
            </w:r>
          </w:p>
        </w:tc>
      </w:tr>
      <w:tr w14:paraId="0D5B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F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E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人员值班</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0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全年值班（含节假日）7:00~17:00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C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3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7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C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25B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r>
      <w:tr w14:paraId="6332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22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E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E2A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b/>
                <w:bCs/>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32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98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13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F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3B5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b/>
                <w:bCs/>
                <w:i w:val="0"/>
                <w:iCs w:val="0"/>
                <w:color w:val="000000"/>
                <w:sz w:val="20"/>
                <w:szCs w:val="20"/>
                <w:u w:val="none"/>
              </w:rPr>
            </w:pPr>
          </w:p>
        </w:tc>
      </w:tr>
      <w:tr w14:paraId="169E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9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F1A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b/>
                <w:bCs/>
                <w:i w:val="0"/>
                <w:iCs w:val="0"/>
                <w:color w:val="000000"/>
                <w:kern w:val="0"/>
                <w:sz w:val="20"/>
                <w:szCs w:val="20"/>
                <w:u w:val="none"/>
                <w:lang w:val="en-US" w:eastAsia="zh-CN" w:bidi="ar"/>
              </w:rPr>
              <w:t>排污指标检测</w:t>
            </w:r>
          </w:p>
        </w:tc>
      </w:tr>
      <w:tr w14:paraId="1E40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0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1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第三方检测</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0A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指标及次数包括：pH（手工记录：2次/天；每季度1次第三方监测）、总余氯、氨氮、COD、SS、粪大肠菌群、BOD5、石油类、挥发酚、动植物油、阴离子表面活性剂、总氰化物、沙门氏菌；志贺氏菌（满足环保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2、检测指标及次数包括：氨、硫化氢、臭气浓度，1次/季度（满足环保要求）</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D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2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B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F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0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详见排污指标检测清单</w:t>
            </w:r>
          </w:p>
        </w:tc>
      </w:tr>
      <w:tr w14:paraId="45B7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9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5963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b/>
                <w:bCs/>
                <w:i w:val="0"/>
                <w:iCs w:val="0"/>
                <w:color w:val="000000"/>
                <w:kern w:val="0"/>
                <w:sz w:val="20"/>
                <w:szCs w:val="20"/>
                <w:u w:val="none"/>
                <w:lang w:val="en-US" w:eastAsia="zh-CN" w:bidi="ar"/>
              </w:rPr>
              <w:t>药剂供应</w:t>
            </w:r>
          </w:p>
        </w:tc>
      </w:tr>
      <w:tr w14:paraId="206B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97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70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10%次氯酸钠药剂</w:t>
            </w:r>
          </w:p>
        </w:tc>
        <w:tc>
          <w:tcPr>
            <w:tcW w:w="17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DE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10%次氯酸钠药剂采购、运输、储存、使用等相关服务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药剂费用（暂估医院年用水量8万吨计算，以单价乘以用水量结算药剂费用）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AF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62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25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46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A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预估次氯酸钠年使用量30吨左右</w:t>
            </w:r>
          </w:p>
        </w:tc>
      </w:tr>
      <w:tr w14:paraId="295D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A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2BEF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b/>
                <w:bCs/>
                <w:i w:val="0"/>
                <w:iCs w:val="0"/>
                <w:color w:val="000000"/>
                <w:kern w:val="0"/>
                <w:sz w:val="20"/>
                <w:szCs w:val="20"/>
                <w:u w:val="none"/>
                <w:lang w:val="en-US" w:eastAsia="zh-CN" w:bidi="ar"/>
              </w:rPr>
              <w:t>污染源在线监测维保</w:t>
            </w:r>
          </w:p>
        </w:tc>
      </w:tr>
      <w:tr w14:paraId="09E7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EC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974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药剂耗材</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COD在线检测仪试剂，重铬酸钾、浓硫酸等，自动检测，12次/天</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87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44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A4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3CF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14F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260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65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9491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C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氨氮在线检测仪试剂，纳氏试剂等，自动检测，12次/天</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79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68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37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92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698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816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CE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95F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8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纯水，自动检测，12次/天</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F76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A9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A6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C1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429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286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9B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D36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质控校准</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BC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58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4B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07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2F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8D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D40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6D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EA5F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D2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3E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B0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38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48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682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A92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69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6FE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5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656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39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558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45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249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725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DF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C56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9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总氯在线检测仪质控、校准标液，1次/周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DA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B8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A2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967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593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174A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4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31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三方比对</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C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指标COD、氨氮、pH比对测试，1次/月</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ED5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42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C6F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19F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B25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59F7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C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E1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设备（含易耗品）</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1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pH电极、电路板、采样管、消解管、阀门、蠕动泵、蠕动泵管、水泵</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C0E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8B9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34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6E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E52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r>
      <w:tr w14:paraId="3DD4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2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1F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环保专网</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F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环保专网</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A7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94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E7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94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256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67A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1F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2D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应急响应</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6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配合环保局主管部门、业主相关工作，超标规范作业，按1次/月计</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4C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AE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E4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20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C91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FE9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9A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BB9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B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在线维保人员专职、1名，维护、保养等</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49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09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78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F6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4BE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65D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B6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E05B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9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交通费，车辆使用、油费、停车费等</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71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C8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EA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45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A6D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5265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E6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3AB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B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管理费培训、督查、资料费、税费等</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CA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69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96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DF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00D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r>
      <w:tr w14:paraId="71ED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CAE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E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4FC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BFB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FC1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A0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0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DB2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23FE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8F1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1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213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55E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7BE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C6F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1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295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bl>
    <w:p w14:paraId="694CCBDF">
      <w:pPr>
        <w:pStyle w:val="40"/>
        <w:rPr>
          <w:rFonts w:hint="eastAsia"/>
          <w:lang w:val="en-US" w:eastAsia="zh-CN"/>
        </w:rPr>
      </w:pPr>
      <w:r>
        <w:rPr>
          <w:rFonts w:hint="eastAsia"/>
          <w:lang w:val="en-US" w:eastAsia="zh-CN"/>
        </w:rPr>
        <w:t>注：1、该项目最高限价：279000元，按实结算。</w:t>
      </w:r>
    </w:p>
    <w:p w14:paraId="0CB43EC5">
      <w:pPr>
        <w:pStyle w:val="4"/>
        <w:jc w:val="both"/>
        <w:rPr>
          <w:rFonts w:hint="default"/>
          <w:lang w:val="en-US" w:eastAsia="zh-CN"/>
        </w:rPr>
      </w:pPr>
      <w:r>
        <w:rPr>
          <w:rFonts w:hint="eastAsia"/>
          <w:lang w:val="en-US" w:eastAsia="zh-CN"/>
        </w:rPr>
        <w:t>四、项目服务期</w:t>
      </w:r>
    </w:p>
    <w:p w14:paraId="1EF1CB70">
      <w:pPr>
        <w:pStyle w:val="40"/>
        <w:rPr>
          <w:rFonts w:hint="eastAsia"/>
          <w:lang w:eastAsia="zh-CN"/>
        </w:rPr>
      </w:pPr>
      <w:r>
        <w:rPr>
          <w:rFonts w:hint="eastAsia"/>
        </w:rPr>
        <w:t>维保服务期从2025年9月1日至2026年8月31日（12个月）</w:t>
      </w:r>
      <w:r>
        <w:rPr>
          <w:rFonts w:hint="eastAsia"/>
          <w:lang w:eastAsia="zh-CN"/>
        </w:rPr>
        <w:t>。</w:t>
      </w:r>
    </w:p>
    <w:p w14:paraId="349750D0">
      <w:pPr>
        <w:pStyle w:val="4"/>
        <w:jc w:val="both"/>
        <w:rPr>
          <w:rFonts w:hint="eastAsia"/>
          <w:lang w:val="en-US" w:eastAsia="zh-CN"/>
        </w:rPr>
      </w:pPr>
      <w:r>
        <w:rPr>
          <w:rFonts w:hint="eastAsia"/>
          <w:lang w:val="en-US" w:eastAsia="zh-CN"/>
        </w:rPr>
        <w:t>五、商务报价要求</w:t>
      </w:r>
    </w:p>
    <w:p w14:paraId="68915BC2">
      <w:pPr>
        <w:pStyle w:val="40"/>
        <w:rPr>
          <w:rFonts w:hint="default"/>
          <w:lang w:val="en-US" w:eastAsia="zh-CN"/>
        </w:rPr>
      </w:pPr>
      <w:r>
        <w:rPr>
          <w:rFonts w:hint="default"/>
          <w:lang w:val="en-US" w:eastAsia="zh-CN"/>
        </w:rPr>
        <w:t>投标报价为服务期内的总费用，包括但不仅限于运维费、药剂费、人工费、验收、备品备件、耗材，1000元以下的配件费，税费等项目实施完成所需的一切费用。与本项目实施有关的内容如未在报价清单中列明的，则视作供应商已考虑并已包含在其他报价中。投标人应认真计算可能发生的各相关费用并计入投标报价内，在项目实施过程中不得藉此要求增加任何费用。</w:t>
      </w:r>
    </w:p>
    <w:p w14:paraId="3A594C3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firstLine="0" w:firstLineChars="0"/>
        <w:jc w:val="both"/>
        <w:textAlignment w:val="auto"/>
        <w:rPr>
          <w:rFonts w:hint="eastAsia" w:ascii="Times New Roman" w:hAnsi="Times New Roman" w:eastAsia="宋体" w:cs="Times New Roman"/>
          <w:b/>
          <w:snapToGrid w:val="0"/>
          <w:kern w:val="44"/>
          <w:sz w:val="28"/>
          <w:szCs w:val="28"/>
          <w:lang w:val="en-US" w:eastAsia="zh-CN" w:bidi="ar-SA"/>
        </w:rPr>
      </w:pPr>
      <w:r>
        <w:rPr>
          <w:rFonts w:hint="eastAsia" w:ascii="Times New Roman" w:hAnsi="Times New Roman" w:eastAsia="宋体" w:cs="Times New Roman"/>
          <w:b/>
          <w:snapToGrid w:val="0"/>
          <w:kern w:val="44"/>
          <w:sz w:val="28"/>
          <w:szCs w:val="28"/>
          <w:lang w:val="en-US" w:eastAsia="zh-CN" w:bidi="ar-SA"/>
        </w:rPr>
        <w:t>付款方式：</w:t>
      </w:r>
    </w:p>
    <w:p w14:paraId="387ABD5A">
      <w:pPr>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宋体" w:hAnsi="宋体" w:eastAsia="宋体" w:cs="宋体"/>
          <w:snapToGrid w:val="0"/>
          <w:sz w:val="24"/>
          <w:szCs w:val="24"/>
          <w:lang w:val="en-US" w:eastAsia="zh-CN" w:bidi="ar-SA"/>
        </w:rPr>
      </w:pPr>
      <w:r>
        <w:rPr>
          <w:rFonts w:hint="eastAsia" w:ascii="仿宋" w:hAnsi="仿宋" w:eastAsia="仿宋" w:cs="仿宋"/>
          <w:b w:val="0"/>
          <w:bCs w:val="0"/>
          <w:color w:val="auto"/>
          <w:sz w:val="24"/>
          <w:szCs w:val="24"/>
          <w:lang w:val="en-US" w:eastAsia="zh-CN"/>
        </w:rPr>
        <w:t>按</w:t>
      </w:r>
      <w:r>
        <w:rPr>
          <w:rFonts w:hint="eastAsia" w:ascii="宋体" w:hAnsi="宋体" w:eastAsia="宋体" w:cs="宋体"/>
          <w:snapToGrid w:val="0"/>
          <w:sz w:val="24"/>
          <w:szCs w:val="24"/>
          <w:lang w:val="en-US" w:eastAsia="zh-CN" w:bidi="ar-SA"/>
        </w:rPr>
        <w:t>季度支付，每个季度服务完成后支付合同价的25%，乙方提供的正规发票。</w:t>
      </w:r>
    </w:p>
    <w:p w14:paraId="1949EF5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both"/>
        <w:textAlignment w:val="auto"/>
        <w:rPr>
          <w:rFonts w:hint="eastAsia" w:cs="Times New Roman"/>
          <w:b/>
          <w:snapToGrid w:val="0"/>
          <w:kern w:val="44"/>
          <w:sz w:val="28"/>
          <w:szCs w:val="28"/>
          <w:lang w:val="en-US" w:eastAsia="zh-CN" w:bidi="ar-SA"/>
        </w:rPr>
      </w:pPr>
      <w:r>
        <w:rPr>
          <w:rFonts w:hint="eastAsia" w:ascii="Times New Roman" w:hAnsi="Times New Roman" w:eastAsia="宋体" w:cs="Times New Roman"/>
          <w:b/>
          <w:snapToGrid w:val="0"/>
          <w:kern w:val="44"/>
          <w:sz w:val="28"/>
          <w:szCs w:val="28"/>
          <w:lang w:val="en-US" w:eastAsia="zh-CN" w:bidi="ar-SA"/>
        </w:rPr>
        <w:t>七、履约保证金</w:t>
      </w:r>
      <w:bookmarkStart w:id="12" w:name="_Toc163727064"/>
      <w:r>
        <w:rPr>
          <w:rFonts w:hint="eastAsia" w:cs="Times New Roman"/>
          <w:b/>
          <w:snapToGrid w:val="0"/>
          <w:kern w:val="44"/>
          <w:sz w:val="28"/>
          <w:szCs w:val="28"/>
          <w:lang w:val="en-US" w:eastAsia="zh-CN" w:bidi="ar-SA"/>
        </w:rPr>
        <w:t>：</w:t>
      </w:r>
    </w:p>
    <w:p w14:paraId="6E1188FB">
      <w:pPr>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pPr>
      <w:r>
        <w:rPr>
          <w:rFonts w:hint="eastAsia" w:ascii="宋体" w:hAnsi="宋体" w:eastAsia="宋体" w:cs="宋体"/>
          <w:snapToGrid w:val="0"/>
          <w:sz w:val="24"/>
          <w:szCs w:val="24"/>
          <w:lang w:val="en-US" w:eastAsia="zh-CN" w:bidi="ar-SA"/>
        </w:rPr>
        <w:t>本项目无需缴纳履约保证金。</w:t>
      </w:r>
      <w:bookmarkEnd w:id="12"/>
    </w:p>
    <w:p w14:paraId="49FA2D08"/>
    <w:p w14:paraId="6DFBA089">
      <w:pPr>
        <w:pStyle w:val="4"/>
        <w:jc w:val="cente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3" w:name="_Toc345320402"/>
      <w:bookmarkStart w:id="14" w:name="_Toc118516218"/>
      <w:bookmarkStart w:id="15" w:name="_Toc171394922"/>
      <w:r>
        <w:rPr>
          <w:rFonts w:hint="eastAsia"/>
          <w:b/>
          <w:bCs/>
          <w:color w:val="000000"/>
          <w:sz w:val="24"/>
          <w:szCs w:val="24"/>
        </w:rPr>
        <w:t>1、</w:t>
      </w:r>
      <w:r>
        <w:rPr>
          <w:b/>
          <w:bCs/>
          <w:color w:val="000000"/>
          <w:sz w:val="24"/>
          <w:szCs w:val="24"/>
        </w:rPr>
        <w:t>商务技术分</w:t>
      </w:r>
      <w:bookmarkEnd w:id="13"/>
      <w:r>
        <w:rPr>
          <w:b/>
          <w:bCs/>
          <w:color w:val="000000"/>
          <w:sz w:val="24"/>
          <w:szCs w:val="24"/>
        </w:rPr>
        <w:t>（</w:t>
      </w:r>
      <w:r>
        <w:rPr>
          <w:rFonts w:hint="eastAsia"/>
          <w:b/>
          <w:bCs/>
          <w:color w:val="000000"/>
          <w:sz w:val="24"/>
          <w:szCs w:val="24"/>
          <w:lang w:val="en-US" w:eastAsia="zh-CN"/>
        </w:rPr>
        <w:t>80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6"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p w14:paraId="14FA4016">
      <w:pPr>
        <w:tabs>
          <w:tab w:val="left" w:pos="-94"/>
          <w:tab w:val="left" w:pos="1620"/>
        </w:tabs>
        <w:adjustRightInd w:val="0"/>
        <w:spacing w:line="360" w:lineRule="auto"/>
        <w:jc w:val="both"/>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rPr>
        <w:t>资信及商务评审因素及分值分配</w:t>
      </w:r>
      <w:r>
        <w:rPr>
          <w:rFonts w:hint="eastAsia" w:ascii="仿宋" w:hAnsi="仿宋" w:eastAsia="仿宋" w:cs="仿宋"/>
          <w:sz w:val="24"/>
          <w:szCs w:val="24"/>
          <w:highlight w:val="none"/>
        </w:rPr>
        <w:t>（总分</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bl>
      <w:tblPr>
        <w:tblStyle w:val="31"/>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212"/>
        <w:gridCol w:w="6647"/>
        <w:gridCol w:w="1233"/>
      </w:tblGrid>
      <w:tr w14:paraId="5B00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noWrap w:val="0"/>
            <w:vAlign w:val="center"/>
          </w:tcPr>
          <w:p w14:paraId="24CE5580">
            <w:pPr>
              <w:pStyle w:val="148"/>
              <w:bidi w:val="0"/>
              <w:rPr>
                <w:rFonts w:hint="eastAsia" w:ascii="仿宋" w:hAnsi="仿宋" w:eastAsia="仿宋" w:cs="仿宋"/>
                <w:sz w:val="22"/>
                <w:szCs w:val="22"/>
                <w:highlight w:val="none"/>
              </w:rPr>
            </w:pPr>
            <w:r>
              <w:rPr>
                <w:rFonts w:hint="eastAsia" w:ascii="仿宋" w:hAnsi="仿宋" w:eastAsia="仿宋" w:cs="仿宋"/>
                <w:sz w:val="22"/>
                <w:szCs w:val="22"/>
                <w:highlight w:val="none"/>
              </w:rPr>
              <w:t>序号</w:t>
            </w:r>
          </w:p>
        </w:tc>
        <w:tc>
          <w:tcPr>
            <w:tcW w:w="1212" w:type="dxa"/>
            <w:noWrap w:val="0"/>
            <w:vAlign w:val="center"/>
          </w:tcPr>
          <w:p w14:paraId="6832E463">
            <w:pPr>
              <w:pStyle w:val="148"/>
              <w:bidi w:val="0"/>
              <w:rPr>
                <w:rFonts w:hint="eastAsia" w:ascii="仿宋" w:hAnsi="仿宋" w:eastAsia="仿宋" w:cs="仿宋"/>
                <w:sz w:val="22"/>
                <w:szCs w:val="22"/>
                <w:highlight w:val="none"/>
              </w:rPr>
            </w:pPr>
            <w:r>
              <w:rPr>
                <w:rFonts w:hint="eastAsia" w:ascii="仿宋" w:hAnsi="仿宋" w:eastAsia="仿宋" w:cs="仿宋"/>
                <w:sz w:val="22"/>
                <w:szCs w:val="22"/>
                <w:highlight w:val="none"/>
              </w:rPr>
              <w:t>评审内容</w:t>
            </w:r>
          </w:p>
        </w:tc>
        <w:tc>
          <w:tcPr>
            <w:tcW w:w="6647" w:type="dxa"/>
            <w:noWrap w:val="0"/>
            <w:vAlign w:val="center"/>
          </w:tcPr>
          <w:p w14:paraId="6C3BC0DA">
            <w:pPr>
              <w:pStyle w:val="148"/>
              <w:bidi w:val="0"/>
              <w:rPr>
                <w:rFonts w:hint="eastAsia" w:ascii="仿宋" w:hAnsi="仿宋" w:eastAsia="仿宋" w:cs="仿宋"/>
                <w:sz w:val="22"/>
                <w:szCs w:val="22"/>
                <w:highlight w:val="none"/>
              </w:rPr>
            </w:pPr>
            <w:r>
              <w:rPr>
                <w:rFonts w:hint="eastAsia" w:ascii="仿宋" w:hAnsi="仿宋" w:eastAsia="仿宋" w:cs="仿宋"/>
                <w:sz w:val="22"/>
                <w:szCs w:val="22"/>
                <w:highlight w:val="none"/>
              </w:rPr>
              <w:t>评  审  标  准</w:t>
            </w:r>
          </w:p>
        </w:tc>
        <w:tc>
          <w:tcPr>
            <w:tcW w:w="1233" w:type="dxa"/>
            <w:noWrap w:val="0"/>
            <w:vAlign w:val="center"/>
          </w:tcPr>
          <w:p w14:paraId="0D69B7DA">
            <w:pPr>
              <w:pStyle w:val="148"/>
              <w:bidi w:val="0"/>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标准分</w:t>
            </w:r>
          </w:p>
        </w:tc>
      </w:tr>
      <w:tr w14:paraId="72F0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18" w:type="dxa"/>
            <w:noWrap w:val="0"/>
            <w:vAlign w:val="center"/>
          </w:tcPr>
          <w:p w14:paraId="70332662">
            <w:pPr>
              <w:pStyle w:val="148"/>
              <w:bidi w:val="0"/>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1212" w:type="dxa"/>
            <w:noWrap w:val="0"/>
            <w:vAlign w:val="center"/>
          </w:tcPr>
          <w:p w14:paraId="388DFBDA">
            <w:pPr>
              <w:pStyle w:val="148"/>
              <w:bidi w:val="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资质</w:t>
            </w:r>
          </w:p>
          <w:p w14:paraId="42315AFB">
            <w:pPr>
              <w:pStyle w:val="148"/>
              <w:bidi w:val="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证书</w:t>
            </w:r>
          </w:p>
        </w:tc>
        <w:tc>
          <w:tcPr>
            <w:tcW w:w="6647" w:type="dxa"/>
            <w:noWrap w:val="0"/>
            <w:vAlign w:val="center"/>
          </w:tcPr>
          <w:p w14:paraId="79B8559C">
            <w:pPr>
              <w:pStyle w:val="148"/>
              <w:bidi w:val="0"/>
              <w:jc w:val="left"/>
              <w:rPr>
                <w:rFonts w:hint="eastAsia"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投标人</w:t>
            </w:r>
            <w:r>
              <w:rPr>
                <w:rFonts w:hint="eastAsia" w:ascii="仿宋" w:hAnsi="仿宋" w:eastAsia="仿宋" w:cs="仿宋"/>
                <w:color w:val="000000"/>
                <w:kern w:val="0"/>
                <w:sz w:val="22"/>
                <w:szCs w:val="22"/>
                <w:highlight w:val="none"/>
              </w:rPr>
              <w:t>具有</w:t>
            </w:r>
            <w:r>
              <w:rPr>
                <w:rFonts w:hint="eastAsia" w:ascii="仿宋" w:hAnsi="仿宋" w:eastAsia="仿宋" w:cs="仿宋"/>
                <w:color w:val="000000"/>
                <w:kern w:val="0"/>
                <w:sz w:val="22"/>
                <w:szCs w:val="22"/>
                <w:highlight w:val="none"/>
                <w:lang w:val="en-US" w:eastAsia="zh-CN"/>
              </w:rPr>
              <w:t>废水处理及废气处理总承包</w:t>
            </w:r>
            <w:r>
              <w:rPr>
                <w:rFonts w:hint="eastAsia" w:ascii="仿宋" w:hAnsi="仿宋" w:eastAsia="仿宋" w:cs="仿宋"/>
                <w:color w:val="000000"/>
                <w:kern w:val="0"/>
                <w:sz w:val="22"/>
                <w:szCs w:val="22"/>
                <w:highlight w:val="none"/>
              </w:rPr>
              <w:t>证书得</w:t>
            </w:r>
            <w:r>
              <w:rPr>
                <w:rFonts w:hint="eastAsia" w:ascii="仿宋" w:hAnsi="仿宋" w:eastAsia="仿宋" w:cs="仿宋"/>
                <w:color w:val="000000"/>
                <w:kern w:val="0"/>
                <w:sz w:val="22"/>
                <w:szCs w:val="22"/>
                <w:highlight w:val="none"/>
                <w:lang w:val="en-US" w:eastAsia="zh-CN"/>
              </w:rPr>
              <w:t>3</w:t>
            </w:r>
            <w:r>
              <w:rPr>
                <w:rFonts w:hint="eastAsia" w:ascii="仿宋" w:hAnsi="仿宋" w:eastAsia="仿宋" w:cs="仿宋"/>
                <w:color w:val="000000"/>
                <w:kern w:val="0"/>
                <w:sz w:val="22"/>
                <w:szCs w:val="22"/>
                <w:highlight w:val="none"/>
              </w:rPr>
              <w:t>分</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lang w:val="en-US" w:eastAsia="zh-CN"/>
              </w:rPr>
              <w:t>证书不全得1分，没有不得分。</w:t>
            </w:r>
          </w:p>
          <w:p w14:paraId="2DFC953A">
            <w:pPr>
              <w:pStyle w:val="148"/>
              <w:bidi w:val="0"/>
              <w:jc w:val="left"/>
              <w:rPr>
                <w:rFonts w:hint="eastAsia" w:ascii="仿宋" w:hAnsi="仿宋" w:eastAsia="仿宋" w:cs="仿宋"/>
                <w:sz w:val="22"/>
                <w:szCs w:val="22"/>
                <w:highlight w:val="none"/>
              </w:rPr>
            </w:pPr>
            <w:r>
              <w:rPr>
                <w:rFonts w:hint="eastAsia" w:ascii="仿宋" w:hAnsi="仿宋" w:eastAsia="仿宋" w:cs="仿宋"/>
                <w:color w:val="000000"/>
                <w:kern w:val="0"/>
                <w:sz w:val="22"/>
                <w:szCs w:val="22"/>
                <w:highlight w:val="none"/>
              </w:rPr>
              <w:t>（注：须提供证书复印件，且在有效期内）</w:t>
            </w:r>
          </w:p>
        </w:tc>
        <w:tc>
          <w:tcPr>
            <w:tcW w:w="1233" w:type="dxa"/>
            <w:noWrap w:val="0"/>
            <w:vAlign w:val="center"/>
          </w:tcPr>
          <w:p w14:paraId="081F3981">
            <w:pPr>
              <w:pStyle w:val="148"/>
              <w:bidi w:val="0"/>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0～</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tc>
      </w:tr>
      <w:tr w14:paraId="4703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18" w:type="dxa"/>
            <w:noWrap w:val="0"/>
            <w:vAlign w:val="center"/>
          </w:tcPr>
          <w:p w14:paraId="47A0F228">
            <w:pPr>
              <w:pStyle w:val="148"/>
              <w:bidi w:val="0"/>
              <w:rPr>
                <w:rFonts w:hint="eastAsia" w:ascii="仿宋" w:hAnsi="仿宋" w:eastAsia="仿宋" w:cs="仿宋"/>
                <w:sz w:val="22"/>
                <w:szCs w:val="22"/>
                <w:highlight w:val="none"/>
                <w:lang w:val="en-US" w:eastAsia="zh-CN"/>
              </w:rPr>
            </w:pPr>
            <w:bookmarkStart w:id="17" w:name="_Toc410631199"/>
            <w:bookmarkStart w:id="18" w:name="_Toc414446035"/>
            <w:r>
              <w:rPr>
                <w:rFonts w:hint="eastAsia" w:ascii="仿宋" w:hAnsi="仿宋" w:eastAsia="仿宋" w:cs="仿宋"/>
                <w:sz w:val="22"/>
                <w:szCs w:val="22"/>
                <w:highlight w:val="none"/>
                <w:lang w:val="en-US" w:eastAsia="zh-CN"/>
              </w:rPr>
              <w:t>2</w:t>
            </w:r>
          </w:p>
        </w:tc>
        <w:tc>
          <w:tcPr>
            <w:tcW w:w="1212" w:type="dxa"/>
            <w:noWrap w:val="0"/>
            <w:vAlign w:val="center"/>
          </w:tcPr>
          <w:p w14:paraId="24485D2B">
            <w:pPr>
              <w:pStyle w:val="148"/>
              <w:bidi w:val="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体系认证</w:t>
            </w:r>
          </w:p>
        </w:tc>
        <w:tc>
          <w:tcPr>
            <w:tcW w:w="6647" w:type="dxa"/>
            <w:noWrap w:val="0"/>
            <w:vAlign w:val="center"/>
          </w:tcPr>
          <w:p w14:paraId="75940105">
            <w:pPr>
              <w:pStyle w:val="148"/>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仿宋" w:hAnsi="仿宋" w:eastAsia="仿宋" w:cs="仿宋"/>
                <w:snapToGrid w:val="0"/>
                <w:color w:val="auto"/>
                <w:sz w:val="22"/>
                <w:szCs w:val="22"/>
                <w:highlight w:val="none"/>
                <w:lang w:val="en-US" w:eastAsia="zh-CN"/>
              </w:rPr>
            </w:pPr>
            <w:r>
              <w:rPr>
                <w:rFonts w:hint="eastAsia" w:ascii="仿宋" w:hAnsi="仿宋" w:eastAsia="仿宋" w:cs="仿宋"/>
                <w:snapToGrid w:val="0"/>
                <w:color w:val="auto"/>
                <w:sz w:val="22"/>
                <w:szCs w:val="22"/>
                <w:highlight w:val="none"/>
              </w:rPr>
              <w:t>投标人具有环境管理体系认证、质量管理体系认证、职业健康安全管理体系认证</w:t>
            </w:r>
            <w:r>
              <w:rPr>
                <w:rFonts w:hint="eastAsia" w:ascii="仿宋" w:hAnsi="仿宋" w:eastAsia="仿宋" w:cs="仿宋"/>
                <w:snapToGrid w:val="0"/>
                <w:color w:val="auto"/>
                <w:sz w:val="22"/>
                <w:szCs w:val="22"/>
                <w:highlight w:val="none"/>
                <w:lang w:eastAsia="zh-CN"/>
              </w:rPr>
              <w:t>，</w:t>
            </w:r>
            <w:r>
              <w:rPr>
                <w:rFonts w:hint="eastAsia" w:ascii="仿宋" w:hAnsi="仿宋" w:eastAsia="仿宋" w:cs="仿宋"/>
                <w:snapToGrid w:val="0"/>
                <w:color w:val="auto"/>
                <w:sz w:val="22"/>
                <w:szCs w:val="22"/>
                <w:highlight w:val="none"/>
                <w:lang w:val="en-US" w:eastAsia="zh-CN"/>
              </w:rPr>
              <w:t>每提供1个得1分。</w:t>
            </w:r>
          </w:p>
          <w:p w14:paraId="47FC6C76">
            <w:pPr>
              <w:pStyle w:val="148"/>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（注：</w:t>
            </w:r>
            <w:r>
              <w:rPr>
                <w:rFonts w:hint="eastAsia" w:ascii="仿宋" w:hAnsi="仿宋" w:eastAsia="仿宋" w:cs="仿宋"/>
                <w:color w:val="000000"/>
                <w:kern w:val="0"/>
                <w:sz w:val="22"/>
                <w:szCs w:val="22"/>
                <w:highlight w:val="none"/>
                <w:lang w:val="en-US" w:eastAsia="zh-CN"/>
              </w:rPr>
              <w:t>认证证书在有效期内，且认证范围须同时包括环境污染防治过程废水、废气的运维服务，否则不得分</w:t>
            </w:r>
            <w:r>
              <w:rPr>
                <w:rFonts w:hint="eastAsia" w:ascii="仿宋" w:hAnsi="仿宋" w:eastAsia="仿宋" w:cs="仿宋"/>
                <w:color w:val="000000"/>
                <w:kern w:val="0"/>
                <w:sz w:val="22"/>
                <w:szCs w:val="22"/>
                <w:highlight w:val="none"/>
              </w:rPr>
              <w:t>）</w:t>
            </w:r>
          </w:p>
        </w:tc>
        <w:tc>
          <w:tcPr>
            <w:tcW w:w="1233" w:type="dxa"/>
            <w:noWrap w:val="0"/>
            <w:vAlign w:val="center"/>
          </w:tcPr>
          <w:p w14:paraId="56B407A8">
            <w:pPr>
              <w:pStyle w:val="148"/>
              <w:bidi w:val="0"/>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0～</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tc>
      </w:tr>
      <w:tr w14:paraId="322A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18" w:type="dxa"/>
            <w:noWrap w:val="0"/>
            <w:vAlign w:val="center"/>
          </w:tcPr>
          <w:p w14:paraId="0D3036AC">
            <w:pPr>
              <w:pStyle w:val="148"/>
              <w:bidi w:val="0"/>
              <w:ind w:firstLine="0" w:firstLineChars="0"/>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3</w:t>
            </w:r>
          </w:p>
        </w:tc>
        <w:tc>
          <w:tcPr>
            <w:tcW w:w="1212" w:type="dxa"/>
            <w:noWrap w:val="0"/>
            <w:vAlign w:val="center"/>
          </w:tcPr>
          <w:p w14:paraId="6B3E1459">
            <w:pPr>
              <w:pStyle w:val="148"/>
              <w:bidi w:val="0"/>
              <w:ind w:firstLine="0" w:firstLineChars="0"/>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业绩</w:t>
            </w:r>
          </w:p>
        </w:tc>
        <w:tc>
          <w:tcPr>
            <w:tcW w:w="6647" w:type="dxa"/>
            <w:noWrap w:val="0"/>
            <w:vAlign w:val="center"/>
          </w:tcPr>
          <w:p w14:paraId="236F0188">
            <w:pPr>
              <w:pStyle w:val="1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投标人自2022年8月1日起（以合同签定时间为准）与不同的用户同时签订污水处理站设备和在线监测设备运维项目业绩，每提供一个不同用户的业绩得1分，最高4分。</w:t>
            </w:r>
          </w:p>
          <w:p w14:paraId="7F376E12">
            <w:pPr>
              <w:pStyle w:val="1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注：提供合同复印件，同一单位业绩不重复计分。</w:t>
            </w:r>
          </w:p>
        </w:tc>
        <w:tc>
          <w:tcPr>
            <w:tcW w:w="1233" w:type="dxa"/>
            <w:noWrap w:val="0"/>
            <w:vAlign w:val="center"/>
          </w:tcPr>
          <w:p w14:paraId="439CF82C">
            <w:pPr>
              <w:pStyle w:val="148"/>
              <w:bidi w:val="0"/>
              <w:ind w:firstLine="0" w:firstLineChars="0"/>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0～</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分</w:t>
            </w:r>
          </w:p>
        </w:tc>
      </w:tr>
    </w:tbl>
    <w:p w14:paraId="1BC2DEA1">
      <w:pPr>
        <w:tabs>
          <w:tab w:val="left" w:pos="-94"/>
          <w:tab w:val="left" w:pos="428"/>
        </w:tabs>
        <w:adjustRightInd w:val="0"/>
        <w:spacing w:line="360" w:lineRule="auto"/>
        <w:ind w:left="23" w:leftChars="11"/>
        <w:jc w:val="both"/>
        <w:textAlignment w:val="baseline"/>
        <w:outlineLvl w:val="1"/>
        <w:rPr>
          <w:rFonts w:hint="eastAsia" w:ascii="仿宋" w:hAnsi="仿宋" w:eastAsia="仿宋" w:cs="仿宋"/>
          <w:sz w:val="22"/>
          <w:szCs w:val="22"/>
          <w:highlight w:val="none"/>
        </w:rPr>
      </w:pPr>
      <w:r>
        <w:rPr>
          <w:rFonts w:hint="eastAsia" w:ascii="仿宋" w:hAnsi="仿宋" w:eastAsia="仿宋" w:cs="仿宋"/>
          <w:b/>
          <w:sz w:val="22"/>
          <w:szCs w:val="22"/>
          <w:highlight w:val="none"/>
        </w:rPr>
        <w:t>技术评审因素及分值分配</w:t>
      </w:r>
      <w:bookmarkEnd w:id="17"/>
      <w:bookmarkEnd w:id="18"/>
      <w:r>
        <w:rPr>
          <w:rFonts w:hint="eastAsia" w:ascii="仿宋" w:hAnsi="仿宋" w:eastAsia="仿宋" w:cs="仿宋"/>
          <w:sz w:val="22"/>
          <w:szCs w:val="22"/>
          <w:highlight w:val="none"/>
        </w:rPr>
        <w:t>（总分</w:t>
      </w:r>
      <w:r>
        <w:rPr>
          <w:rFonts w:hint="eastAsia" w:ascii="仿宋" w:hAnsi="仿宋" w:eastAsia="仿宋" w:cs="仿宋"/>
          <w:sz w:val="22"/>
          <w:szCs w:val="22"/>
          <w:highlight w:val="none"/>
          <w:lang w:val="en-US" w:eastAsia="zh-CN"/>
        </w:rPr>
        <w:t>70</w:t>
      </w:r>
      <w:r>
        <w:rPr>
          <w:rFonts w:hint="eastAsia" w:ascii="仿宋" w:hAnsi="仿宋" w:eastAsia="仿宋" w:cs="仿宋"/>
          <w:sz w:val="22"/>
          <w:szCs w:val="22"/>
          <w:highlight w:val="none"/>
        </w:rPr>
        <w:t>分）</w:t>
      </w:r>
    </w:p>
    <w:tbl>
      <w:tblPr>
        <w:tblStyle w:val="31"/>
        <w:tblW w:w="5353" w:type="pct"/>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107"/>
        <w:gridCol w:w="5720"/>
        <w:gridCol w:w="1257"/>
      </w:tblGrid>
      <w:tr w14:paraId="6B91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1" w:type="pct"/>
            <w:noWrap w:val="0"/>
            <w:vAlign w:val="center"/>
          </w:tcPr>
          <w:p w14:paraId="4AF48E55">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序号</w:t>
            </w:r>
          </w:p>
        </w:tc>
        <w:tc>
          <w:tcPr>
            <w:tcW w:w="1059" w:type="pct"/>
            <w:noWrap w:val="0"/>
            <w:vAlign w:val="center"/>
          </w:tcPr>
          <w:p w14:paraId="2DAE0713">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评审因素</w:t>
            </w:r>
          </w:p>
        </w:tc>
        <w:tc>
          <w:tcPr>
            <w:tcW w:w="2875" w:type="pct"/>
            <w:noWrap w:val="0"/>
            <w:vAlign w:val="center"/>
          </w:tcPr>
          <w:p w14:paraId="174D0A0E">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评审标准</w:t>
            </w:r>
          </w:p>
        </w:tc>
        <w:tc>
          <w:tcPr>
            <w:tcW w:w="632" w:type="pct"/>
            <w:noWrap w:val="0"/>
            <w:vAlign w:val="center"/>
          </w:tcPr>
          <w:p w14:paraId="237A344B">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分值</w:t>
            </w:r>
          </w:p>
        </w:tc>
      </w:tr>
      <w:tr w14:paraId="1482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31" w:type="pct"/>
            <w:noWrap w:val="0"/>
            <w:vAlign w:val="center"/>
          </w:tcPr>
          <w:p w14:paraId="2429DB41">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w:t>
            </w:r>
          </w:p>
        </w:tc>
        <w:tc>
          <w:tcPr>
            <w:tcW w:w="1059" w:type="pct"/>
            <w:noWrap w:val="0"/>
            <w:vAlign w:val="center"/>
          </w:tcPr>
          <w:p w14:paraId="38AA2758">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理解能力</w:t>
            </w:r>
          </w:p>
        </w:tc>
        <w:tc>
          <w:tcPr>
            <w:tcW w:w="2875" w:type="pct"/>
            <w:noWrap w:val="0"/>
            <w:vAlign w:val="center"/>
          </w:tcPr>
          <w:p w14:paraId="3B14644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kern w:val="2"/>
                <w:sz w:val="22"/>
                <w:szCs w:val="22"/>
                <w:highlight w:val="none"/>
                <w:lang w:val="en-US" w:eastAsia="zh-CN" w:bidi="ar-SA"/>
              </w:rPr>
              <w:t>投标人对本项目是否充分理解，对招标需求、项目现状、项目实施可能存在的问题是否考虑周全。理解充分的得5分；理解较充分的得4分，基本理解的得3分；一般的得1分；不提供不得分</w:t>
            </w:r>
            <w:r>
              <w:rPr>
                <w:rFonts w:hint="eastAsia" w:ascii="仿宋" w:hAnsi="仿宋" w:eastAsia="仿宋" w:cs="仿宋"/>
                <w:sz w:val="22"/>
                <w:szCs w:val="22"/>
                <w:highlight w:val="none"/>
              </w:rPr>
              <w:t>。</w:t>
            </w:r>
          </w:p>
        </w:tc>
        <w:tc>
          <w:tcPr>
            <w:tcW w:w="632" w:type="pct"/>
            <w:noWrap w:val="0"/>
            <w:vAlign w:val="center"/>
          </w:tcPr>
          <w:p w14:paraId="5D49E03B">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tc>
      </w:tr>
      <w:tr w14:paraId="6473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31" w:type="pct"/>
            <w:vMerge w:val="restart"/>
            <w:noWrap w:val="0"/>
            <w:vAlign w:val="center"/>
          </w:tcPr>
          <w:p w14:paraId="3E226E86">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1059" w:type="pct"/>
            <w:vMerge w:val="restart"/>
            <w:noWrap w:val="0"/>
            <w:vAlign w:val="center"/>
          </w:tcPr>
          <w:p w14:paraId="07D17FDE">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维保方案</w:t>
            </w:r>
          </w:p>
        </w:tc>
        <w:tc>
          <w:tcPr>
            <w:tcW w:w="2875" w:type="pct"/>
            <w:noWrap w:val="0"/>
            <w:vAlign w:val="center"/>
          </w:tcPr>
          <w:p w14:paraId="10217C30">
            <w:pPr>
              <w:pStyle w:val="148"/>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污水站设备维保实施方案：维保工作开展思路、工作步骤、实施工作时间进度表、管理和协调方法、废水废气自检方案、建立污水维保台账记录、提供每次的维修保养检查记录单作为备案资料等情况等进行综合评议。方案内容针对性强得4分，方案内容较合理得3分，方案内容一般得2分，方案内容有所欠缺得1分</w:t>
            </w:r>
            <w:r>
              <w:rPr>
                <w:rFonts w:hint="eastAsia" w:ascii="仿宋" w:hAnsi="仿宋" w:eastAsia="仿宋" w:cs="仿宋"/>
                <w:kern w:val="2"/>
                <w:sz w:val="22"/>
                <w:szCs w:val="22"/>
                <w:highlight w:val="none"/>
                <w:lang w:val="en-US" w:eastAsia="zh-CN" w:bidi="ar-SA"/>
              </w:rPr>
              <w:t>；不提供不得分。</w:t>
            </w:r>
          </w:p>
        </w:tc>
        <w:tc>
          <w:tcPr>
            <w:tcW w:w="632" w:type="pct"/>
            <w:noWrap w:val="0"/>
            <w:vAlign w:val="center"/>
          </w:tcPr>
          <w:p w14:paraId="5CBACE2F">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分</w:t>
            </w:r>
          </w:p>
        </w:tc>
      </w:tr>
      <w:tr w14:paraId="1E8A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31" w:type="pct"/>
            <w:vMerge w:val="continue"/>
            <w:noWrap w:val="0"/>
            <w:vAlign w:val="center"/>
          </w:tcPr>
          <w:p w14:paraId="33B33195">
            <w:pPr>
              <w:ind w:left="0" w:leftChars="0" w:firstLine="0" w:firstLineChars="0"/>
              <w:rPr>
                <w:sz w:val="20"/>
                <w:szCs w:val="18"/>
                <w:highlight w:val="none"/>
              </w:rPr>
            </w:pPr>
          </w:p>
        </w:tc>
        <w:tc>
          <w:tcPr>
            <w:tcW w:w="1059" w:type="pct"/>
            <w:vMerge w:val="continue"/>
            <w:noWrap w:val="0"/>
            <w:vAlign w:val="center"/>
          </w:tcPr>
          <w:p w14:paraId="1DE4D2EF">
            <w:pPr>
              <w:ind w:left="0" w:leftChars="0" w:firstLine="0" w:firstLineChars="0"/>
              <w:rPr>
                <w:sz w:val="20"/>
                <w:szCs w:val="18"/>
                <w:highlight w:val="none"/>
              </w:rPr>
            </w:pPr>
          </w:p>
        </w:tc>
        <w:tc>
          <w:tcPr>
            <w:tcW w:w="2875" w:type="pct"/>
            <w:noWrap w:val="0"/>
            <w:vAlign w:val="center"/>
          </w:tcPr>
          <w:p w14:paraId="4440581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kern w:val="0"/>
                <w:sz w:val="22"/>
                <w:szCs w:val="22"/>
                <w:highlight w:val="none"/>
                <w:lang w:val="en-US" w:eastAsia="zh-CN" w:bidi="ar-SA"/>
              </w:rPr>
              <w:t>在线监测系统维保实施方案：方案内容针对性强得4分，方案内容较合理得3分，方案内容一般得2分，方案内容有所欠缺得1分；不提供不得分。</w:t>
            </w:r>
          </w:p>
        </w:tc>
        <w:tc>
          <w:tcPr>
            <w:tcW w:w="632" w:type="pct"/>
            <w:noWrap w:val="0"/>
            <w:vAlign w:val="center"/>
          </w:tcPr>
          <w:p w14:paraId="3C533CC8">
            <w:pPr>
              <w:ind w:left="0" w:leftChars="0" w:firstLine="0" w:firstLineChars="0"/>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分</w:t>
            </w:r>
          </w:p>
        </w:tc>
      </w:tr>
      <w:tr w14:paraId="6993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1" w:type="pct"/>
            <w:noWrap w:val="0"/>
            <w:vAlign w:val="center"/>
          </w:tcPr>
          <w:p w14:paraId="2034AECE">
            <w:pPr>
              <w:pStyle w:val="167"/>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w:t>
            </w:r>
          </w:p>
        </w:tc>
        <w:tc>
          <w:tcPr>
            <w:tcW w:w="1059" w:type="pct"/>
            <w:noWrap w:val="0"/>
            <w:vAlign w:val="center"/>
          </w:tcPr>
          <w:p w14:paraId="5E8ECB23">
            <w:pPr>
              <w:pStyle w:val="167"/>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质量卫生指标</w:t>
            </w:r>
          </w:p>
        </w:tc>
        <w:tc>
          <w:tcPr>
            <w:tcW w:w="2875" w:type="pct"/>
            <w:noWrap w:val="0"/>
            <w:vAlign w:val="center"/>
          </w:tcPr>
          <w:p w14:paraId="3E1A420C">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污水处理质量卫生指标检测方案、现场清洁卫生方案、污水站除臭方案、</w:t>
            </w:r>
            <w:r>
              <w:rPr>
                <w:rFonts w:hint="eastAsia" w:ascii="仿宋" w:hAnsi="仿宋" w:eastAsia="仿宋" w:cs="仿宋"/>
                <w:sz w:val="22"/>
                <w:szCs w:val="22"/>
                <w:highlight w:val="none"/>
                <w:lang w:val="en-US" w:eastAsia="zh-CN"/>
              </w:rPr>
              <w:t>污水应急处理等全面、</w:t>
            </w:r>
            <w:r>
              <w:rPr>
                <w:rFonts w:hint="eastAsia" w:ascii="仿宋" w:hAnsi="仿宋" w:eastAsia="仿宋" w:cs="仿宋"/>
                <w:sz w:val="22"/>
                <w:szCs w:val="22"/>
                <w:highlight w:val="none"/>
              </w:rPr>
              <w:t>科学、合理的得5分；</w:t>
            </w:r>
            <w:r>
              <w:rPr>
                <w:rFonts w:hint="eastAsia" w:ascii="仿宋" w:hAnsi="仿宋" w:eastAsia="仿宋" w:cs="仿宋"/>
                <w:sz w:val="22"/>
                <w:szCs w:val="22"/>
                <w:highlight w:val="none"/>
                <w:lang w:val="en-US" w:eastAsia="zh-CN"/>
              </w:rPr>
              <w:t>较科学合理的得3.5分；</w:t>
            </w:r>
            <w:r>
              <w:rPr>
                <w:rFonts w:hint="eastAsia" w:ascii="仿宋" w:hAnsi="仿宋" w:eastAsia="仿宋" w:cs="仿宋"/>
                <w:sz w:val="22"/>
                <w:szCs w:val="22"/>
                <w:highlight w:val="none"/>
              </w:rPr>
              <w:t>基本合理的得</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分；一般的得1分</w:t>
            </w:r>
            <w:r>
              <w:rPr>
                <w:rFonts w:hint="eastAsia" w:ascii="仿宋" w:hAnsi="仿宋" w:eastAsia="仿宋" w:cs="仿宋"/>
                <w:kern w:val="0"/>
                <w:sz w:val="22"/>
                <w:szCs w:val="22"/>
                <w:highlight w:val="none"/>
                <w:lang w:val="en-US" w:eastAsia="zh-CN" w:bidi="ar-SA"/>
              </w:rPr>
              <w:t>；不提供不得分。</w:t>
            </w:r>
          </w:p>
        </w:tc>
        <w:tc>
          <w:tcPr>
            <w:tcW w:w="632" w:type="pct"/>
            <w:noWrap w:val="0"/>
            <w:vAlign w:val="center"/>
          </w:tcPr>
          <w:p w14:paraId="04C3FC2F">
            <w:pPr>
              <w:pStyle w:val="16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tc>
      </w:tr>
      <w:tr w14:paraId="164C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31" w:type="pct"/>
            <w:noWrap w:val="0"/>
            <w:vAlign w:val="center"/>
          </w:tcPr>
          <w:p w14:paraId="2D73402E">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w:t>
            </w:r>
          </w:p>
        </w:tc>
        <w:tc>
          <w:tcPr>
            <w:tcW w:w="1059" w:type="pct"/>
            <w:noWrap w:val="0"/>
            <w:vAlign w:val="center"/>
          </w:tcPr>
          <w:p w14:paraId="7F858AD5">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重难点及保证措施</w:t>
            </w:r>
          </w:p>
        </w:tc>
        <w:tc>
          <w:tcPr>
            <w:tcW w:w="2875" w:type="pct"/>
            <w:noWrap w:val="0"/>
            <w:vAlign w:val="center"/>
          </w:tcPr>
          <w:p w14:paraId="3347E32C">
            <w:pPr>
              <w:pStyle w:val="148"/>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服务方案中对本项目的难点、要点和关键部位有详细阐明，相关质量控制的保证措施和手段科学、可靠</w:t>
            </w:r>
            <w:r>
              <w:rPr>
                <w:rFonts w:hint="eastAsia" w:ascii="仿宋" w:hAnsi="仿宋" w:eastAsia="仿宋" w:cs="仿宋"/>
                <w:sz w:val="22"/>
                <w:szCs w:val="22"/>
                <w:highlight w:val="none"/>
                <w:lang w:val="en-US" w:eastAsia="zh-CN"/>
              </w:rPr>
              <w:t>性</w:t>
            </w:r>
            <w:r>
              <w:rPr>
                <w:rFonts w:hint="eastAsia" w:ascii="仿宋" w:hAnsi="仿宋" w:eastAsia="仿宋" w:cs="仿宋"/>
                <w:kern w:val="2"/>
                <w:sz w:val="22"/>
                <w:szCs w:val="22"/>
                <w:highlight w:val="none"/>
                <w:lang w:val="en-US" w:eastAsia="zh-CN" w:bidi="ar-SA"/>
              </w:rPr>
              <w:t>（</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kern w:val="2"/>
                <w:sz w:val="22"/>
                <w:szCs w:val="22"/>
                <w:highlight w:val="none"/>
                <w:lang w:val="en-US" w:eastAsia="zh-CN" w:bidi="ar-SA"/>
              </w:rPr>
              <w:t>分）</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 xml:space="preserve"> </w:t>
            </w:r>
          </w:p>
        </w:tc>
        <w:tc>
          <w:tcPr>
            <w:tcW w:w="632" w:type="pct"/>
            <w:noWrap w:val="0"/>
            <w:vAlign w:val="center"/>
          </w:tcPr>
          <w:p w14:paraId="3AB944B2">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tc>
      </w:tr>
      <w:tr w14:paraId="3CCB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31" w:type="pct"/>
            <w:noWrap w:val="0"/>
            <w:vAlign w:val="center"/>
          </w:tcPr>
          <w:p w14:paraId="2BE8DDC5">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w:t>
            </w:r>
          </w:p>
        </w:tc>
        <w:tc>
          <w:tcPr>
            <w:tcW w:w="1059" w:type="pct"/>
            <w:noWrap w:val="0"/>
            <w:vAlign w:val="center"/>
          </w:tcPr>
          <w:p w14:paraId="25935941">
            <w:pPr>
              <w:pStyle w:val="14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应急预案</w:t>
            </w:r>
          </w:p>
        </w:tc>
        <w:tc>
          <w:tcPr>
            <w:tcW w:w="2875" w:type="pct"/>
            <w:noWrap w:val="0"/>
            <w:vAlign w:val="center"/>
          </w:tcPr>
          <w:p w14:paraId="1996E60D">
            <w:pPr>
              <w:pStyle w:val="148"/>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项目实施过程中应急预案科学合理</w:t>
            </w:r>
            <w:r>
              <w:rPr>
                <w:rFonts w:hint="eastAsia" w:ascii="仿宋" w:hAnsi="仿宋" w:eastAsia="仿宋" w:cs="仿宋"/>
                <w:sz w:val="22"/>
                <w:szCs w:val="22"/>
                <w:highlight w:val="none"/>
                <w:lang w:val="en-US" w:eastAsia="zh-CN"/>
              </w:rPr>
              <w:t>性</w:t>
            </w:r>
            <w:r>
              <w:rPr>
                <w:rFonts w:hint="eastAsia" w:ascii="仿宋" w:hAnsi="仿宋" w:eastAsia="仿宋" w:cs="仿宋"/>
                <w:kern w:val="2"/>
                <w:sz w:val="22"/>
                <w:szCs w:val="22"/>
                <w:highlight w:val="none"/>
                <w:lang w:val="en-US" w:eastAsia="zh-CN" w:bidi="ar-SA"/>
              </w:rPr>
              <w:t>（</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4</w:t>
            </w:r>
            <w:r>
              <w:rPr>
                <w:rFonts w:hint="eastAsia" w:ascii="仿宋" w:hAnsi="仿宋" w:eastAsia="仿宋" w:cs="仿宋"/>
                <w:kern w:val="2"/>
                <w:sz w:val="22"/>
                <w:szCs w:val="22"/>
                <w:highlight w:val="none"/>
                <w:lang w:val="en-US" w:eastAsia="zh-CN" w:bidi="ar-SA"/>
              </w:rPr>
              <w:t>分）</w:t>
            </w:r>
            <w:r>
              <w:rPr>
                <w:rFonts w:hint="eastAsia" w:ascii="仿宋" w:hAnsi="仿宋" w:eastAsia="仿宋" w:cs="仿宋"/>
                <w:sz w:val="22"/>
                <w:szCs w:val="22"/>
                <w:highlight w:val="none"/>
                <w:lang w:val="en-US" w:eastAsia="zh-CN"/>
              </w:rPr>
              <w:t>。</w:t>
            </w:r>
          </w:p>
        </w:tc>
        <w:tc>
          <w:tcPr>
            <w:tcW w:w="632" w:type="pct"/>
            <w:noWrap w:val="0"/>
            <w:vAlign w:val="center"/>
          </w:tcPr>
          <w:p w14:paraId="37532F2C">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分</w:t>
            </w:r>
          </w:p>
        </w:tc>
      </w:tr>
      <w:tr w14:paraId="21F8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31" w:type="pct"/>
            <w:vMerge w:val="restart"/>
            <w:noWrap w:val="0"/>
            <w:vAlign w:val="center"/>
          </w:tcPr>
          <w:p w14:paraId="5EB41830">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w:t>
            </w:r>
          </w:p>
        </w:tc>
        <w:tc>
          <w:tcPr>
            <w:tcW w:w="1059" w:type="pct"/>
            <w:vMerge w:val="restart"/>
            <w:noWrap w:val="0"/>
            <w:vAlign w:val="center"/>
          </w:tcPr>
          <w:p w14:paraId="5BB6B82F">
            <w:pPr>
              <w:pStyle w:val="14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lang w:val="en-US" w:eastAsia="zh-CN"/>
              </w:rPr>
            </w:pPr>
            <w:r>
              <w:rPr>
                <w:rFonts w:hint="eastAsia" w:ascii="仿宋" w:hAnsi="仿宋" w:eastAsia="仿宋" w:cs="仿宋"/>
                <w:color w:val="000000"/>
                <w:sz w:val="22"/>
                <w:szCs w:val="22"/>
                <w:highlight w:val="none"/>
                <w:lang w:val="en-US" w:eastAsia="zh-CN"/>
              </w:rPr>
              <w:t>项目团队</w:t>
            </w:r>
          </w:p>
        </w:tc>
        <w:tc>
          <w:tcPr>
            <w:tcW w:w="2875" w:type="pct"/>
            <w:noWrap w:val="0"/>
            <w:vAlign w:val="center"/>
          </w:tcPr>
          <w:p w14:paraId="4D216922">
            <w:pPr>
              <w:pStyle w:val="167"/>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项目负责人</w:t>
            </w:r>
            <w:r>
              <w:rPr>
                <w:rFonts w:hint="eastAsia" w:ascii="仿宋" w:hAnsi="仿宋" w:eastAsia="仿宋" w:cs="仿宋"/>
                <w:color w:val="000000"/>
                <w:sz w:val="22"/>
                <w:szCs w:val="22"/>
                <w:highlight w:val="none"/>
              </w:rPr>
              <w:t>：</w:t>
            </w:r>
          </w:p>
          <w:p w14:paraId="7E77E091">
            <w:pPr>
              <w:pStyle w:val="167"/>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1、具备环保工程师职称得</w:t>
            </w:r>
            <w:r>
              <w:rPr>
                <w:rFonts w:hint="eastAsia" w:ascii="仿宋" w:hAnsi="仿宋" w:eastAsia="仿宋" w:cs="仿宋"/>
                <w:color w:val="000000"/>
                <w:kern w:val="0"/>
                <w:sz w:val="22"/>
                <w:szCs w:val="22"/>
                <w:highlight w:val="none"/>
                <w:lang w:val="en-US" w:eastAsia="zh-CN"/>
              </w:rPr>
              <w:t>1</w:t>
            </w:r>
            <w:r>
              <w:rPr>
                <w:rFonts w:hint="eastAsia" w:ascii="仿宋" w:hAnsi="仿宋" w:eastAsia="仿宋" w:cs="仿宋"/>
                <w:color w:val="000000"/>
                <w:kern w:val="0"/>
                <w:sz w:val="22"/>
                <w:szCs w:val="22"/>
                <w:highlight w:val="none"/>
              </w:rPr>
              <w:t>分；</w:t>
            </w:r>
          </w:p>
          <w:p w14:paraId="1845D369">
            <w:pPr>
              <w:pStyle w:val="167"/>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2、具有电气类执业证书得1分；</w:t>
            </w:r>
          </w:p>
          <w:p w14:paraId="60B0FF26">
            <w:pPr>
              <w:pStyle w:val="148"/>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3、具备机械类执业证书得1分。</w:t>
            </w:r>
          </w:p>
          <w:p w14:paraId="14F20A3F">
            <w:pPr>
              <w:rPr>
                <w:rFonts w:hint="eastAsia"/>
                <w:sz w:val="20"/>
                <w:szCs w:val="18"/>
                <w:highlight w:val="none"/>
              </w:rPr>
            </w:pPr>
            <w:r>
              <w:rPr>
                <w:rFonts w:hint="eastAsia" w:ascii="仿宋" w:hAnsi="仿宋" w:eastAsia="仿宋" w:cs="仿宋"/>
                <w:color w:val="000000"/>
                <w:kern w:val="0"/>
                <w:sz w:val="22"/>
                <w:szCs w:val="22"/>
                <w:highlight w:val="none"/>
                <w:lang w:val="en-US" w:eastAsia="zh-CN" w:bidi="ar-SA"/>
              </w:rPr>
              <w:t>（以上人员必须出具有效证书，人证对应，并需提供单位社保缴纳证明复印件并加盖公章，否则不得分。）</w:t>
            </w:r>
          </w:p>
        </w:tc>
        <w:tc>
          <w:tcPr>
            <w:tcW w:w="632" w:type="pct"/>
            <w:noWrap w:val="0"/>
            <w:vAlign w:val="center"/>
          </w:tcPr>
          <w:p w14:paraId="2D65C2F3">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tc>
      </w:tr>
      <w:tr w14:paraId="0D5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31" w:type="pct"/>
            <w:vMerge w:val="continue"/>
            <w:noWrap w:val="0"/>
            <w:vAlign w:val="center"/>
          </w:tcPr>
          <w:p w14:paraId="619F722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sz w:val="20"/>
                <w:szCs w:val="18"/>
                <w:highlight w:val="none"/>
              </w:rPr>
            </w:pPr>
          </w:p>
        </w:tc>
        <w:tc>
          <w:tcPr>
            <w:tcW w:w="1059" w:type="pct"/>
            <w:vMerge w:val="continue"/>
            <w:noWrap w:val="0"/>
            <w:vAlign w:val="center"/>
          </w:tcPr>
          <w:p w14:paraId="6052ED2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sz w:val="20"/>
                <w:szCs w:val="18"/>
                <w:highlight w:val="none"/>
              </w:rPr>
            </w:pPr>
          </w:p>
        </w:tc>
        <w:tc>
          <w:tcPr>
            <w:tcW w:w="2875" w:type="pct"/>
            <w:noWrap w:val="0"/>
            <w:vAlign w:val="center"/>
          </w:tcPr>
          <w:p w14:paraId="637B273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团队成员：</w:t>
            </w:r>
          </w:p>
          <w:p w14:paraId="1F3FE04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拟投入台账资料员1人及以上得1分。</w:t>
            </w:r>
          </w:p>
          <w:p w14:paraId="5B12EB2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拟投入废水或废气处理工2人及以上得2分。</w:t>
            </w:r>
          </w:p>
          <w:p w14:paraId="0E030F5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自动监控（污废水）运行工2人及以上得2分</w:t>
            </w:r>
          </w:p>
          <w:p w14:paraId="57D0740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2"/>
                <w:szCs w:val="22"/>
                <w:highlight w:val="none"/>
              </w:rPr>
            </w:pPr>
            <w:r>
              <w:rPr>
                <w:rFonts w:hint="eastAsia" w:ascii="仿宋" w:hAnsi="仿宋" w:eastAsia="仿宋" w:cs="仿宋"/>
                <w:color w:val="000000"/>
                <w:sz w:val="22"/>
                <w:szCs w:val="22"/>
                <w:highlight w:val="none"/>
              </w:rPr>
              <w:t>（以上人员需提供单位社保缴纳证明复印件并加盖公章，否则不得分。）</w:t>
            </w:r>
          </w:p>
        </w:tc>
        <w:tc>
          <w:tcPr>
            <w:tcW w:w="632" w:type="pct"/>
            <w:noWrap w:val="0"/>
            <w:vAlign w:val="center"/>
          </w:tcPr>
          <w:p w14:paraId="5555AF4A">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tc>
      </w:tr>
      <w:tr w14:paraId="621C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31" w:type="pct"/>
            <w:noWrap w:val="0"/>
            <w:vAlign w:val="center"/>
          </w:tcPr>
          <w:p w14:paraId="08717B00">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7</w:t>
            </w:r>
          </w:p>
        </w:tc>
        <w:tc>
          <w:tcPr>
            <w:tcW w:w="1059" w:type="pct"/>
            <w:noWrap w:val="0"/>
            <w:vAlign w:val="center"/>
          </w:tcPr>
          <w:p w14:paraId="552FA017">
            <w:pPr>
              <w:pStyle w:val="14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机械</w:t>
            </w:r>
            <w:r>
              <w:rPr>
                <w:rFonts w:hint="eastAsia" w:ascii="仿宋" w:hAnsi="仿宋" w:eastAsia="仿宋" w:cs="仿宋"/>
                <w:sz w:val="22"/>
                <w:szCs w:val="22"/>
                <w:highlight w:val="none"/>
              </w:rPr>
              <w:t>设备配置</w:t>
            </w:r>
          </w:p>
        </w:tc>
        <w:tc>
          <w:tcPr>
            <w:tcW w:w="2875" w:type="pct"/>
            <w:noWrap w:val="0"/>
            <w:vAlign w:val="center"/>
          </w:tcPr>
          <w:p w14:paraId="53D745E3">
            <w:pPr>
              <w:pStyle w:val="167"/>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sz w:val="22"/>
                <w:szCs w:val="22"/>
                <w:highlight w:val="none"/>
                <w:lang w:val="en-US" w:eastAsia="zh-CN"/>
              </w:rPr>
              <w:t>投标人具备的污水站维保工艺设备：多参数便携式水质检测仪、消解仪、COD/氨氮检测仪、溶氧仪、气体检测仪、潜水泵、应急消毒装置、发电机、高压冲洗机、管道疏通机、（通）风机、防毒面具等。以上设备完全具备的得6分，每缺少一个扣1分，扣完为止，没有不得分。</w:t>
            </w:r>
            <w:r>
              <w:rPr>
                <w:rFonts w:hint="eastAsia" w:ascii="仿宋" w:hAnsi="仿宋" w:eastAsia="仿宋" w:cs="仿宋"/>
                <w:color w:val="000000"/>
                <w:sz w:val="22"/>
                <w:szCs w:val="22"/>
                <w:highlight w:val="none"/>
              </w:rPr>
              <w:t>（投标人需提供购置发票复印件，不提供不得分）</w:t>
            </w:r>
          </w:p>
        </w:tc>
        <w:tc>
          <w:tcPr>
            <w:tcW w:w="632" w:type="pct"/>
            <w:noWrap w:val="0"/>
            <w:vAlign w:val="center"/>
          </w:tcPr>
          <w:p w14:paraId="6FD72D7D">
            <w:pPr>
              <w:pStyle w:val="16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分</w:t>
            </w:r>
          </w:p>
        </w:tc>
      </w:tr>
      <w:tr w14:paraId="1DFF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31" w:type="pct"/>
            <w:noWrap w:val="0"/>
            <w:vAlign w:val="center"/>
          </w:tcPr>
          <w:p w14:paraId="6CC3614D">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8</w:t>
            </w:r>
          </w:p>
        </w:tc>
        <w:tc>
          <w:tcPr>
            <w:tcW w:w="1059" w:type="pct"/>
            <w:noWrap w:val="0"/>
            <w:vAlign w:val="center"/>
          </w:tcPr>
          <w:p w14:paraId="3D810158">
            <w:pPr>
              <w:spacing w:line="360" w:lineRule="auto"/>
              <w:ind w:left="0" w:leftChars="0" w:firstLine="0" w:firstLineChars="0"/>
              <w:jc w:val="center"/>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工作单</w:t>
            </w:r>
          </w:p>
        </w:tc>
        <w:tc>
          <w:tcPr>
            <w:tcW w:w="2875" w:type="pct"/>
            <w:noWrap w:val="0"/>
            <w:vAlign w:val="center"/>
          </w:tcPr>
          <w:p w14:paraId="09B73B86">
            <w:pPr>
              <w:spacing w:line="360" w:lineRule="auto"/>
              <w:ind w:left="0" w:leftChars="0" w:firstLine="0" w:firstLineChars="0"/>
              <w:rPr>
                <w:rFonts w:hint="default"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维修保养工作单合理性和完整性。工作单完整详细得5分，工作单较完整得4分，工作单基本满足日常工作需要得3分，工作单有所欠缺得2分，工作单混乱、缺乏管理得1分；不提供不得分。</w:t>
            </w:r>
          </w:p>
        </w:tc>
        <w:tc>
          <w:tcPr>
            <w:tcW w:w="632" w:type="pct"/>
            <w:noWrap w:val="0"/>
            <w:vAlign w:val="center"/>
          </w:tcPr>
          <w:p w14:paraId="27B60EBE">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0～5分</w:t>
            </w:r>
          </w:p>
        </w:tc>
      </w:tr>
      <w:tr w14:paraId="498C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1" w:type="pct"/>
            <w:noWrap w:val="0"/>
            <w:vAlign w:val="center"/>
          </w:tcPr>
          <w:p w14:paraId="1AE6083E">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9</w:t>
            </w:r>
          </w:p>
        </w:tc>
        <w:tc>
          <w:tcPr>
            <w:tcW w:w="1059" w:type="pct"/>
            <w:noWrap w:val="0"/>
            <w:vAlign w:val="center"/>
          </w:tcPr>
          <w:p w14:paraId="37F61435">
            <w:pPr>
              <w:keepNext w:val="0"/>
              <w:keepLines w:val="0"/>
              <w:pageBreakBefore w:val="0"/>
              <w:kinsoku/>
              <w:wordWrap/>
              <w:overflowPunct/>
              <w:topLinePunct w:val="0"/>
              <w:autoSpaceDE/>
              <w:autoSpaceDN/>
              <w:bidi w:val="0"/>
              <w:ind w:left="0" w:leftChars="0" w:firstLine="0" w:firstLineChars="0"/>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第三方检测方案</w:t>
            </w:r>
          </w:p>
        </w:tc>
        <w:tc>
          <w:tcPr>
            <w:tcW w:w="2875" w:type="pct"/>
            <w:noWrap w:val="0"/>
            <w:vAlign w:val="center"/>
          </w:tcPr>
          <w:p w14:paraId="3BB3456C">
            <w:pPr>
              <w:keepNext w:val="0"/>
              <w:keepLines w:val="0"/>
              <w:pageBreakBefore w:val="0"/>
              <w:kinsoku/>
              <w:wordWrap/>
              <w:overflowPunct/>
              <w:topLinePunct w:val="0"/>
              <w:autoSpaceDE/>
              <w:autoSpaceDN/>
              <w:bidi w:val="0"/>
              <w:ind w:left="0" w:leftChars="0" w:firstLine="0" w:firstLineChars="0"/>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根据环保部门、疾控部门、卫生监督等部门的要求，制定第三方检测方案</w:t>
            </w:r>
            <w:r>
              <w:rPr>
                <w:rFonts w:hint="eastAsia" w:ascii="仿宋" w:hAnsi="仿宋" w:eastAsia="仿宋" w:cs="仿宋"/>
                <w:kern w:val="2"/>
                <w:sz w:val="22"/>
                <w:szCs w:val="22"/>
                <w:highlight w:val="none"/>
                <w:lang w:val="en-US" w:eastAsia="zh-CN" w:bidi="ar-SA"/>
              </w:rPr>
              <w:t>（</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kern w:val="2"/>
                <w:sz w:val="22"/>
                <w:szCs w:val="22"/>
                <w:highlight w:val="none"/>
                <w:lang w:val="en-US" w:eastAsia="zh-CN" w:bidi="ar-SA"/>
              </w:rPr>
              <w:t>分）；不提供不得分</w:t>
            </w:r>
            <w:r>
              <w:rPr>
                <w:rFonts w:hint="eastAsia" w:ascii="仿宋" w:hAnsi="仿宋" w:eastAsia="仿宋" w:cs="仿宋"/>
                <w:sz w:val="22"/>
                <w:szCs w:val="22"/>
                <w:highlight w:val="none"/>
                <w:lang w:val="en-US" w:eastAsia="zh-CN"/>
              </w:rPr>
              <w:t>。</w:t>
            </w:r>
          </w:p>
        </w:tc>
        <w:tc>
          <w:tcPr>
            <w:tcW w:w="632" w:type="pct"/>
            <w:noWrap w:val="0"/>
            <w:vAlign w:val="center"/>
          </w:tcPr>
          <w:p w14:paraId="7D1FFE4E">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color w:val="000000"/>
                <w:kern w:val="2"/>
                <w:sz w:val="22"/>
                <w:szCs w:val="22"/>
                <w:highlight w:val="none"/>
                <w:lang w:val="en-US" w:eastAsia="zh-CN" w:bidi="ar-SA"/>
              </w:rPr>
              <w:t>0～5分</w:t>
            </w:r>
          </w:p>
        </w:tc>
      </w:tr>
      <w:tr w14:paraId="1D36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1" w:type="pct"/>
            <w:noWrap w:val="0"/>
            <w:vAlign w:val="center"/>
          </w:tcPr>
          <w:p w14:paraId="40449E31">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c>
          <w:tcPr>
            <w:tcW w:w="1059" w:type="pct"/>
            <w:noWrap w:val="0"/>
            <w:vAlign w:val="center"/>
          </w:tcPr>
          <w:p w14:paraId="78A8435A">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消毒药剂的供应</w:t>
            </w:r>
            <w:r>
              <w:rPr>
                <w:rFonts w:hint="eastAsia" w:ascii="仿宋" w:hAnsi="仿宋" w:eastAsia="仿宋" w:cs="仿宋"/>
                <w:sz w:val="22"/>
                <w:szCs w:val="22"/>
                <w:highlight w:val="none"/>
              </w:rPr>
              <w:tab/>
            </w:r>
          </w:p>
        </w:tc>
        <w:tc>
          <w:tcPr>
            <w:tcW w:w="2875" w:type="pct"/>
            <w:noWrap w:val="0"/>
            <w:vAlign w:val="center"/>
          </w:tcPr>
          <w:p w14:paraId="101A1ABB">
            <w:pPr>
              <w:pStyle w:val="148"/>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制定详细的消毒药剂供应方案</w:t>
            </w:r>
            <w:r>
              <w:rPr>
                <w:rFonts w:hint="eastAsia" w:ascii="仿宋" w:hAnsi="仿宋" w:eastAsia="仿宋" w:cs="仿宋"/>
                <w:kern w:val="2"/>
                <w:sz w:val="22"/>
                <w:szCs w:val="22"/>
                <w:highlight w:val="none"/>
                <w:lang w:val="en-US" w:eastAsia="zh-CN" w:bidi="ar-SA"/>
              </w:rPr>
              <w:t>（</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kern w:val="2"/>
                <w:sz w:val="22"/>
                <w:szCs w:val="22"/>
                <w:highlight w:val="none"/>
                <w:lang w:val="en-US" w:eastAsia="zh-CN" w:bidi="ar-SA"/>
              </w:rPr>
              <w:t>分）；不提供不得分</w:t>
            </w:r>
            <w:r>
              <w:rPr>
                <w:rFonts w:hint="eastAsia" w:ascii="仿宋" w:hAnsi="仿宋" w:eastAsia="仿宋" w:cs="仿宋"/>
                <w:sz w:val="22"/>
                <w:szCs w:val="22"/>
                <w:highlight w:val="none"/>
              </w:rPr>
              <w:t>。</w:t>
            </w:r>
          </w:p>
        </w:tc>
        <w:tc>
          <w:tcPr>
            <w:tcW w:w="632" w:type="pct"/>
            <w:noWrap w:val="0"/>
            <w:vAlign w:val="center"/>
          </w:tcPr>
          <w:p w14:paraId="15A44C7D">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tc>
      </w:tr>
      <w:tr w14:paraId="6014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1" w:type="pct"/>
            <w:noWrap w:val="0"/>
            <w:vAlign w:val="center"/>
          </w:tcPr>
          <w:p w14:paraId="3C60ECB1">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11</w:t>
            </w:r>
          </w:p>
        </w:tc>
        <w:tc>
          <w:tcPr>
            <w:tcW w:w="1059" w:type="pct"/>
            <w:noWrap w:val="0"/>
            <w:vAlign w:val="center"/>
          </w:tcPr>
          <w:p w14:paraId="5C3CD273">
            <w:pPr>
              <w:pStyle w:val="167"/>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sz w:val="22"/>
                <w:szCs w:val="22"/>
                <w:highlight w:val="none"/>
              </w:rPr>
              <w:t>备品备件</w:t>
            </w:r>
          </w:p>
        </w:tc>
        <w:tc>
          <w:tcPr>
            <w:tcW w:w="2875" w:type="pct"/>
            <w:noWrap w:val="0"/>
            <w:vAlign w:val="center"/>
          </w:tcPr>
          <w:p w14:paraId="10B062C3">
            <w:pPr>
              <w:pStyle w:val="167"/>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供应商为保障设备维修，提供备品备件储备情况，提供备件库和备品备件清单及报价，从备品备件全面性及报价情况作横向比较（</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kern w:val="2"/>
                <w:sz w:val="22"/>
                <w:szCs w:val="22"/>
                <w:highlight w:val="none"/>
                <w:lang w:val="en-US" w:eastAsia="zh-CN" w:bidi="ar-SA"/>
              </w:rPr>
              <w:t>分）；不提供不得分。</w:t>
            </w:r>
          </w:p>
        </w:tc>
        <w:tc>
          <w:tcPr>
            <w:tcW w:w="632" w:type="pct"/>
            <w:noWrap w:val="0"/>
            <w:vAlign w:val="center"/>
          </w:tcPr>
          <w:p w14:paraId="600A4655">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tc>
      </w:tr>
      <w:tr w14:paraId="5AB9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1" w:type="pct"/>
            <w:vMerge w:val="restart"/>
            <w:noWrap w:val="0"/>
            <w:vAlign w:val="center"/>
          </w:tcPr>
          <w:p w14:paraId="4D9BAD72">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12</w:t>
            </w:r>
          </w:p>
        </w:tc>
        <w:tc>
          <w:tcPr>
            <w:tcW w:w="1059" w:type="pct"/>
            <w:vMerge w:val="restart"/>
            <w:noWrap w:val="0"/>
            <w:vAlign w:val="center"/>
          </w:tcPr>
          <w:p w14:paraId="7F76B50C">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售后服务</w:t>
            </w:r>
          </w:p>
        </w:tc>
        <w:tc>
          <w:tcPr>
            <w:tcW w:w="2875" w:type="pct"/>
            <w:noWrap w:val="0"/>
            <w:vAlign w:val="center"/>
          </w:tcPr>
          <w:p w14:paraId="3E54F22F">
            <w:pPr>
              <w:pStyle w:val="148"/>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售后服务方案科学合理性，包括但不限于</w:t>
            </w:r>
            <w:r>
              <w:rPr>
                <w:rFonts w:hint="eastAsia" w:ascii="仿宋" w:hAnsi="仿宋" w:eastAsia="仿宋" w:cs="仿宋"/>
                <w:color w:val="000000"/>
                <w:sz w:val="22"/>
                <w:szCs w:val="22"/>
                <w:highlight w:val="none"/>
              </w:rPr>
              <w:t>包括响应速度承诺、承诺修复时间长短、处置流程</w:t>
            </w:r>
            <w:r>
              <w:rPr>
                <w:rFonts w:hint="eastAsia" w:ascii="仿宋" w:hAnsi="仿宋" w:eastAsia="仿宋" w:cs="仿宋"/>
                <w:color w:val="000000"/>
                <w:sz w:val="22"/>
                <w:szCs w:val="22"/>
                <w:highlight w:val="none"/>
                <w:lang w:eastAsia="zh-CN"/>
              </w:rPr>
              <w:t>、</w:t>
            </w:r>
            <w:r>
              <w:rPr>
                <w:rFonts w:hint="eastAsia" w:ascii="仿宋" w:hAnsi="仿宋" w:eastAsia="仿宋" w:cs="仿宋"/>
                <w:color w:val="000000"/>
                <w:kern w:val="2"/>
                <w:sz w:val="22"/>
                <w:szCs w:val="22"/>
                <w:highlight w:val="none"/>
                <w:lang w:val="en-US" w:eastAsia="zh-CN" w:bidi="ar-SA"/>
              </w:rPr>
              <w:t>维修点配置、故障解决方案；科学合理得3分，</w:t>
            </w:r>
            <w:r>
              <w:rPr>
                <w:rFonts w:hint="eastAsia" w:ascii="仿宋" w:hAnsi="仿宋" w:eastAsia="仿宋" w:cs="仿宋"/>
                <w:kern w:val="2"/>
                <w:sz w:val="22"/>
                <w:szCs w:val="22"/>
                <w:highlight w:val="none"/>
                <w:lang w:val="en-US" w:eastAsia="zh-CN" w:bidi="ar-SA"/>
              </w:rPr>
              <w:t>基本合理的得2分,一般的得1分；（</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r>
              <w:rPr>
                <w:rFonts w:hint="eastAsia" w:ascii="仿宋" w:hAnsi="仿宋" w:eastAsia="仿宋" w:cs="仿宋"/>
                <w:kern w:val="2"/>
                <w:sz w:val="22"/>
                <w:szCs w:val="22"/>
                <w:highlight w:val="none"/>
                <w:lang w:val="en-US" w:eastAsia="zh-CN" w:bidi="ar-SA"/>
              </w:rPr>
              <w:t>）</w:t>
            </w:r>
          </w:p>
        </w:tc>
        <w:tc>
          <w:tcPr>
            <w:tcW w:w="632" w:type="pct"/>
            <w:noWrap w:val="0"/>
            <w:vAlign w:val="center"/>
          </w:tcPr>
          <w:p w14:paraId="6F0E6A02">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tc>
      </w:tr>
      <w:tr w14:paraId="5A94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1" w:type="pct"/>
            <w:vMerge w:val="continue"/>
            <w:noWrap w:val="0"/>
            <w:vAlign w:val="center"/>
          </w:tcPr>
          <w:p w14:paraId="058D1658">
            <w:pPr>
              <w:ind w:left="0" w:leftChars="0" w:firstLine="0" w:firstLineChars="0"/>
              <w:rPr>
                <w:sz w:val="20"/>
                <w:szCs w:val="18"/>
                <w:highlight w:val="none"/>
              </w:rPr>
            </w:pPr>
          </w:p>
        </w:tc>
        <w:tc>
          <w:tcPr>
            <w:tcW w:w="1059" w:type="pct"/>
            <w:vMerge w:val="continue"/>
            <w:noWrap w:val="0"/>
            <w:vAlign w:val="center"/>
          </w:tcPr>
          <w:p w14:paraId="5397F6DB">
            <w:pPr>
              <w:ind w:left="0" w:leftChars="0" w:firstLine="0" w:firstLineChars="0"/>
              <w:rPr>
                <w:sz w:val="20"/>
                <w:szCs w:val="18"/>
                <w:highlight w:val="none"/>
              </w:rPr>
            </w:pPr>
          </w:p>
        </w:tc>
        <w:tc>
          <w:tcPr>
            <w:tcW w:w="2875" w:type="pct"/>
            <w:noWrap w:val="0"/>
            <w:vAlign w:val="center"/>
          </w:tcPr>
          <w:p w14:paraId="622A474C">
            <w:pPr>
              <w:ind w:left="0" w:leftChars="0" w:firstLine="0" w:firstLineChars="0"/>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投标人的污水处理站设备维修、保养、应急服务能力，包括相关服务业绩、同类项目经验等。服务能力强得3分，服务能力较强得2分，基本可行得1.5分，一般得1分；</w:t>
            </w:r>
            <w:r>
              <w:rPr>
                <w:rFonts w:hint="eastAsia" w:ascii="仿宋" w:hAnsi="仿宋" w:eastAsia="仿宋" w:cs="仿宋"/>
                <w:kern w:val="2"/>
                <w:sz w:val="22"/>
                <w:szCs w:val="22"/>
                <w:highlight w:val="none"/>
                <w:lang w:val="en-US" w:eastAsia="zh-CN" w:bidi="ar-SA"/>
              </w:rPr>
              <w:t>（</w:t>
            </w: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r>
              <w:rPr>
                <w:rFonts w:hint="eastAsia" w:ascii="仿宋" w:hAnsi="仿宋" w:eastAsia="仿宋" w:cs="仿宋"/>
                <w:kern w:val="2"/>
                <w:sz w:val="22"/>
                <w:szCs w:val="22"/>
                <w:highlight w:val="none"/>
                <w:lang w:val="en-US" w:eastAsia="zh-CN" w:bidi="ar-SA"/>
              </w:rPr>
              <w:t>）</w:t>
            </w:r>
          </w:p>
        </w:tc>
        <w:tc>
          <w:tcPr>
            <w:tcW w:w="632" w:type="pct"/>
            <w:noWrap w:val="0"/>
            <w:vAlign w:val="center"/>
          </w:tcPr>
          <w:p w14:paraId="47AF2107">
            <w:pPr>
              <w:ind w:left="0" w:leftChars="0" w:firstLine="0" w:firstLineChars="0"/>
              <w:jc w:val="center"/>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tc>
      </w:tr>
      <w:tr w14:paraId="6688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31" w:type="pct"/>
            <w:noWrap w:val="0"/>
            <w:vAlign w:val="center"/>
          </w:tcPr>
          <w:p w14:paraId="100983D5">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13</w:t>
            </w:r>
          </w:p>
        </w:tc>
        <w:tc>
          <w:tcPr>
            <w:tcW w:w="1059" w:type="pct"/>
            <w:noWrap w:val="0"/>
            <w:vAlign w:val="center"/>
          </w:tcPr>
          <w:p w14:paraId="47DB9C3B">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合理化建议</w:t>
            </w:r>
          </w:p>
        </w:tc>
        <w:tc>
          <w:tcPr>
            <w:tcW w:w="2875" w:type="pct"/>
            <w:noWrap w:val="0"/>
            <w:vAlign w:val="center"/>
          </w:tcPr>
          <w:p w14:paraId="078A536E">
            <w:pPr>
              <w:pStyle w:val="148"/>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rPr>
              <w:t>对本项目的合理化建议可行的</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分，较可行的</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分，一般</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eastAsia="zh-CN"/>
              </w:rPr>
              <w:t>；</w:t>
            </w:r>
            <w:r>
              <w:rPr>
                <w:rFonts w:hint="eastAsia" w:ascii="仿宋" w:hAnsi="仿宋" w:eastAsia="仿宋" w:cs="仿宋"/>
                <w:kern w:val="2"/>
                <w:sz w:val="22"/>
                <w:szCs w:val="22"/>
                <w:highlight w:val="none"/>
                <w:lang w:val="en-US" w:eastAsia="zh-CN" w:bidi="ar-SA"/>
              </w:rPr>
              <w:t>不提供不得分</w:t>
            </w:r>
            <w:r>
              <w:rPr>
                <w:rFonts w:hint="eastAsia" w:ascii="仿宋" w:hAnsi="仿宋" w:eastAsia="仿宋" w:cs="仿宋"/>
                <w:sz w:val="22"/>
                <w:szCs w:val="22"/>
                <w:highlight w:val="none"/>
              </w:rPr>
              <w:t>。</w:t>
            </w:r>
          </w:p>
        </w:tc>
        <w:tc>
          <w:tcPr>
            <w:tcW w:w="632" w:type="pct"/>
            <w:noWrap w:val="0"/>
            <w:vAlign w:val="center"/>
          </w:tcPr>
          <w:p w14:paraId="17D06406">
            <w:pPr>
              <w:pStyle w:val="14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2"/>
                <w:sz w:val="22"/>
                <w:szCs w:val="22"/>
                <w:highlight w:val="none"/>
                <w:lang w:val="en-US" w:eastAsia="zh-CN" w:bidi="ar-SA"/>
              </w:rPr>
            </w:pPr>
            <w:r>
              <w:rPr>
                <w:rFonts w:hint="eastAsia" w:ascii="仿宋" w:hAnsi="仿宋" w:eastAsia="仿宋" w:cs="仿宋"/>
                <w:sz w:val="22"/>
                <w:szCs w:val="22"/>
                <w:highlight w:val="none"/>
                <w:lang w:val="en-US" w:eastAsia="zh-CN"/>
              </w:rPr>
              <w:t>0</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tc>
      </w:tr>
    </w:tbl>
    <w:p w14:paraId="10698E7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color w:val="auto"/>
          <w:sz w:val="24"/>
          <w:szCs w:val="24"/>
          <w:highlight w:val="none"/>
        </w:rPr>
        <w:sectPr>
          <w:pgSz w:w="11906" w:h="16838"/>
          <w:pgMar w:top="1701" w:right="1418" w:bottom="1418" w:left="1418" w:header="851" w:footer="992" w:gutter="0"/>
          <w:cols w:space="720" w:num="1"/>
          <w:docGrid w:type="lines" w:linePitch="312" w:charSpace="0"/>
        </w:sectPr>
      </w:pPr>
      <w:r>
        <w:rPr>
          <w:rFonts w:hint="eastAsia" w:ascii="仿宋" w:hAnsi="仿宋" w:eastAsia="仿宋" w:cs="仿宋"/>
          <w:b/>
          <w:sz w:val="24"/>
          <w:szCs w:val="24"/>
          <w:highlight w:val="none"/>
        </w:rPr>
        <w:t>注：</w:t>
      </w:r>
      <w:r>
        <w:rPr>
          <w:rFonts w:hint="eastAsia" w:ascii="仿宋" w:hAnsi="仿宋" w:eastAsia="仿宋" w:cs="仿宋"/>
          <w:b/>
          <w:kern w:val="0"/>
          <w:sz w:val="24"/>
          <w:highlight w:val="none"/>
        </w:rPr>
        <w:t>因投标人提供的相关证明材料的清晰度、真实性等原因造成评标委员会无法判定的，可能被严厉扣分或不得分，</w:t>
      </w:r>
      <w:r>
        <w:rPr>
          <w:rFonts w:hint="eastAsia" w:ascii="仿宋" w:hAnsi="仿宋" w:eastAsia="仿宋" w:cs="仿宋"/>
          <w:b/>
          <w:sz w:val="24"/>
          <w:szCs w:val="24"/>
          <w:highlight w:val="none"/>
        </w:rPr>
        <w:t>投标人弄虚</w:t>
      </w:r>
      <w:r>
        <w:rPr>
          <w:rFonts w:hint="eastAsia" w:ascii="仿宋" w:hAnsi="仿宋" w:eastAsia="仿宋" w:cs="仿宋"/>
          <w:b/>
          <w:color w:val="auto"/>
          <w:sz w:val="24"/>
          <w:szCs w:val="24"/>
          <w:highlight w:val="none"/>
        </w:rPr>
        <w:t>作假的，</w:t>
      </w:r>
      <w:r>
        <w:rPr>
          <w:rFonts w:hint="eastAsia" w:ascii="仿宋" w:hAnsi="仿宋" w:eastAsia="仿宋" w:cs="仿宋"/>
          <w:b/>
          <w:color w:val="auto"/>
          <w:sz w:val="24"/>
          <w:szCs w:val="24"/>
          <w:highlight w:val="none"/>
          <w:lang w:val="en-US" w:eastAsia="zh-CN"/>
        </w:rPr>
        <w:t>查实后做废标处理，并没收投标保证金，同时</w:t>
      </w:r>
      <w:r>
        <w:rPr>
          <w:rFonts w:hint="eastAsia" w:ascii="仿宋" w:hAnsi="仿宋" w:eastAsia="仿宋" w:cs="仿宋"/>
          <w:b/>
          <w:color w:val="auto"/>
          <w:sz w:val="24"/>
          <w:szCs w:val="24"/>
          <w:highlight w:val="none"/>
        </w:rPr>
        <w:t>报相关部门查处。</w:t>
      </w:r>
    </w:p>
    <w:p w14:paraId="058D7BAF">
      <w:pPr>
        <w:pStyle w:val="24"/>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20</w:t>
      </w:r>
      <w:r>
        <w:rPr>
          <w:rFonts w:hint="eastAsia"/>
          <w:b/>
          <w:sz w:val="24"/>
          <w:szCs w:val="24"/>
        </w:rPr>
        <w:t>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20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8"/>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20</w:t>
      </w:r>
      <w:r>
        <w:rPr>
          <w:sz w:val="24"/>
          <w:szCs w:val="24"/>
        </w:rPr>
        <w:t>%×100</w:t>
      </w:r>
    </w:p>
    <w:bookmarkEnd w:id="16"/>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4"/>
    <w:bookmarkEnd w:id="15"/>
    <w:p w14:paraId="242EDBD5">
      <w:pPr>
        <w:pStyle w:val="4"/>
      </w:pPr>
      <w:bookmarkStart w:id="19" w:name="_Toc82338245"/>
      <w:bookmarkStart w:id="20" w:name="_Toc495317672"/>
      <w:bookmarkStart w:id="21" w:name="_Toc82873328"/>
      <w:bookmarkStart w:id="22" w:name="_Toc211745569"/>
      <w:r>
        <w:br w:type="page"/>
      </w:r>
      <w:r>
        <w:t>第四章 采购</w:t>
      </w:r>
      <w:bookmarkEnd w:id="19"/>
      <w:bookmarkEnd w:id="20"/>
      <w:bookmarkEnd w:id="21"/>
      <w:bookmarkEnd w:id="22"/>
      <w:r>
        <w:t>合同主要条款</w:t>
      </w:r>
    </w:p>
    <w:p w14:paraId="34B438DF">
      <w:pPr>
        <w:pStyle w:val="16"/>
        <w:snapToGrid w:val="0"/>
        <w:spacing w:line="360" w:lineRule="auto"/>
        <w:ind w:right="1413" w:rightChars="673"/>
        <w:jc w:val="right"/>
        <w:rPr>
          <w:rFonts w:ascii="Times New Roman" w:hAnsi="Times New Roman"/>
          <w:sz w:val="24"/>
          <w:szCs w:val="24"/>
        </w:rPr>
      </w:pPr>
      <w:bookmarkStart w:id="23" w:name="_Toc336683578"/>
      <w:bookmarkStart w:id="24" w:name="_Toc437953149"/>
      <w:bookmarkStart w:id="25"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7BCC363F">
      <w:pPr>
        <w:pageBreakBefore w:val="0"/>
        <w:kinsoku/>
        <w:bidi w:val="0"/>
        <w:spacing w:beforeAutospacing="0" w:afterAutospacing="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根据《中华人民共和国民法典》、《中华人民共和国政府采购法》等相关法律法规之规定，按照平等、自愿、公平、诚实信用和绿色的原则，经</w:t>
      </w:r>
      <w:r>
        <w:rPr>
          <w:rFonts w:hint="eastAsia" w:ascii="宋体" w:hAnsi="宋体" w:eastAsia="宋体" w:cs="宋体"/>
          <w:sz w:val="24"/>
          <w:highlight w:val="none"/>
          <w:u w:val="none"/>
          <w:lang w:eastAsia="zh-CN"/>
        </w:rPr>
        <w:t>甲乙双方</w:t>
      </w:r>
      <w:r>
        <w:rPr>
          <w:rFonts w:hint="eastAsia" w:ascii="宋体" w:hAnsi="宋体" w:eastAsia="宋体" w:cs="宋体"/>
          <w:sz w:val="24"/>
          <w:highlight w:val="none"/>
          <w:lang w:val="zh-CN"/>
        </w:rPr>
        <w:t>协商一致，约定以下合同</w:t>
      </w:r>
      <w:r>
        <w:rPr>
          <w:rFonts w:hint="eastAsia" w:ascii="宋体" w:hAnsi="宋体" w:eastAsia="宋体" w:cs="宋体"/>
          <w:sz w:val="24"/>
          <w:highlight w:val="none"/>
        </w:rPr>
        <w:t>条款，以兹共同遵守、全面履行。</w:t>
      </w:r>
    </w:p>
    <w:p w14:paraId="20A1B949">
      <w:pPr>
        <w:pStyle w:val="16"/>
        <w:pageBreakBefore w:val="0"/>
        <w:kinsoku/>
        <w:wordWrap w:val="0"/>
        <w:topLinePunct/>
        <w:bidi w:val="0"/>
        <w:adjustRightInd w:val="0"/>
        <w:spacing w:beforeLines="0" w:beforeAutospacing="0" w:afterLines="0" w:afterAutospacing="0" w:line="440" w:lineRule="exact"/>
        <w:ind w:firstLine="360" w:firstLineChars="200"/>
        <w:rPr>
          <w:rFonts w:hint="eastAsia" w:ascii="宋体" w:hAnsi="宋体" w:eastAsia="宋体" w:cs="宋体"/>
          <w:color w:val="000000"/>
        </w:rPr>
      </w:pPr>
    </w:p>
    <w:p w14:paraId="42048973">
      <w:pPr>
        <w:pageBreakBefore w:val="0"/>
        <w:shd w:val="clear" w:color="auto" w:fill="FFFFFF"/>
        <w:kinsoku/>
        <w:wordWrap w:val="0"/>
        <w:topLinePunct/>
        <w:bidi w:val="0"/>
        <w:adjustRightInd w:val="0"/>
        <w:spacing w:beforeAutospacing="0" w:afterAutospacing="0" w:line="44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第一条：采购清单及合同价格</w:t>
      </w:r>
    </w:p>
    <w:p w14:paraId="5A1EB7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本合同总价为：人民币</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元（大写：</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元人民币）</w:t>
      </w:r>
    </w:p>
    <w:p w14:paraId="3A2996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lang w:val="en-US" w:eastAsia="zh-CN"/>
        </w:rPr>
        <w:t xml:space="preserve">分项价格：                                                  </w:t>
      </w:r>
      <w:r>
        <w:rPr>
          <w:rFonts w:hint="eastAsia" w:ascii="宋体" w:hAnsi="宋体" w:eastAsia="宋体" w:cs="宋体"/>
          <w:b w:val="0"/>
          <w:bCs w:val="0"/>
          <w:sz w:val="24"/>
          <w:szCs w:val="24"/>
          <w:highlight w:val="none"/>
          <w:u w:val="none"/>
          <w:lang w:val="en-US" w:eastAsia="zh-CN"/>
        </w:rPr>
        <w:t>单位：元</w:t>
      </w:r>
    </w:p>
    <w:tbl>
      <w:tblPr>
        <w:tblStyle w:val="32"/>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149"/>
        <w:gridCol w:w="2898"/>
        <w:gridCol w:w="1449"/>
        <w:gridCol w:w="1449"/>
      </w:tblGrid>
      <w:tr w14:paraId="50A7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65FE174A">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序号</w:t>
            </w:r>
          </w:p>
        </w:tc>
        <w:tc>
          <w:tcPr>
            <w:tcW w:w="2149" w:type="dxa"/>
            <w:noWrap w:val="0"/>
            <w:vAlign w:val="top"/>
          </w:tcPr>
          <w:p w14:paraId="68029939">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标的名称</w:t>
            </w:r>
          </w:p>
        </w:tc>
        <w:tc>
          <w:tcPr>
            <w:tcW w:w="2898" w:type="dxa"/>
            <w:noWrap w:val="0"/>
            <w:vAlign w:val="top"/>
          </w:tcPr>
          <w:p w14:paraId="33FD1532">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规格型号（或服务需求）</w:t>
            </w:r>
          </w:p>
        </w:tc>
        <w:tc>
          <w:tcPr>
            <w:tcW w:w="1449" w:type="dxa"/>
            <w:noWrap w:val="0"/>
            <w:vAlign w:val="top"/>
          </w:tcPr>
          <w:p w14:paraId="00F3E3EE">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数量</w:t>
            </w:r>
          </w:p>
        </w:tc>
        <w:tc>
          <w:tcPr>
            <w:tcW w:w="1449" w:type="dxa"/>
            <w:noWrap w:val="0"/>
            <w:vAlign w:val="top"/>
          </w:tcPr>
          <w:p w14:paraId="44E4E8FC">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单价</w:t>
            </w:r>
          </w:p>
        </w:tc>
      </w:tr>
      <w:tr w14:paraId="507B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72818B51">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1</w:t>
            </w:r>
          </w:p>
        </w:tc>
        <w:tc>
          <w:tcPr>
            <w:tcW w:w="2149" w:type="dxa"/>
            <w:noWrap w:val="0"/>
            <w:vAlign w:val="top"/>
          </w:tcPr>
          <w:p w14:paraId="0A02EBC6">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2898" w:type="dxa"/>
            <w:noWrap w:val="0"/>
            <w:vAlign w:val="top"/>
          </w:tcPr>
          <w:p w14:paraId="2A7DB7E3">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1449" w:type="dxa"/>
            <w:noWrap w:val="0"/>
            <w:vAlign w:val="top"/>
          </w:tcPr>
          <w:p w14:paraId="030F852E">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1449" w:type="dxa"/>
            <w:noWrap w:val="0"/>
            <w:vAlign w:val="top"/>
          </w:tcPr>
          <w:p w14:paraId="6A4C0E04">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r>
      <w:tr w14:paraId="3C1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486E8E35">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2</w:t>
            </w:r>
          </w:p>
        </w:tc>
        <w:tc>
          <w:tcPr>
            <w:tcW w:w="2149" w:type="dxa"/>
            <w:noWrap w:val="0"/>
            <w:vAlign w:val="top"/>
          </w:tcPr>
          <w:p w14:paraId="6AABD9BF">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2898" w:type="dxa"/>
            <w:noWrap w:val="0"/>
            <w:vAlign w:val="top"/>
          </w:tcPr>
          <w:p w14:paraId="60712784">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1449" w:type="dxa"/>
            <w:noWrap w:val="0"/>
            <w:vAlign w:val="top"/>
          </w:tcPr>
          <w:p w14:paraId="11631FD4">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1449" w:type="dxa"/>
            <w:noWrap w:val="0"/>
            <w:vAlign w:val="top"/>
          </w:tcPr>
          <w:p w14:paraId="7CE40990">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r>
      <w:tr w14:paraId="6CC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55863A31">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w:t>
            </w:r>
          </w:p>
        </w:tc>
        <w:tc>
          <w:tcPr>
            <w:tcW w:w="2149" w:type="dxa"/>
            <w:noWrap w:val="0"/>
            <w:vAlign w:val="top"/>
          </w:tcPr>
          <w:p w14:paraId="34EA48E8">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2898" w:type="dxa"/>
            <w:noWrap w:val="0"/>
            <w:vAlign w:val="top"/>
          </w:tcPr>
          <w:p w14:paraId="1E69A3C2">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1449" w:type="dxa"/>
            <w:noWrap w:val="0"/>
            <w:vAlign w:val="top"/>
          </w:tcPr>
          <w:p w14:paraId="4B3DDF13">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c>
          <w:tcPr>
            <w:tcW w:w="1449" w:type="dxa"/>
            <w:noWrap w:val="0"/>
            <w:vAlign w:val="top"/>
          </w:tcPr>
          <w:p w14:paraId="7D3A0FCE">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宋体" w:hAnsi="宋体" w:eastAsia="宋体" w:cs="宋体"/>
                <w:b w:val="0"/>
                <w:bCs w:val="0"/>
                <w:sz w:val="24"/>
                <w:szCs w:val="24"/>
                <w:highlight w:val="none"/>
                <w:u w:val="none"/>
                <w:vertAlign w:val="baseline"/>
                <w:lang w:val="en-US" w:eastAsia="zh-CN"/>
              </w:rPr>
            </w:pPr>
          </w:p>
        </w:tc>
      </w:tr>
      <w:tr w14:paraId="5DF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2" w:type="dxa"/>
            <w:gridSpan w:val="5"/>
            <w:noWrap w:val="0"/>
            <w:vAlign w:val="top"/>
          </w:tcPr>
          <w:p w14:paraId="6D3AB04B">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合同总价（人民币大写）：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元整</w:t>
            </w:r>
          </w:p>
        </w:tc>
      </w:tr>
    </w:tbl>
    <w:p w14:paraId="7AFD89E5">
      <w:pPr>
        <w:pageBreakBefore w:val="0"/>
        <w:kinsoku/>
        <w:wordWrap w:val="0"/>
        <w:topLinePunct/>
        <w:bidi w:val="0"/>
        <w:adjustRightInd w:val="0"/>
        <w:spacing w:beforeAutospacing="0" w:afterAutospacing="0" w:line="440" w:lineRule="exact"/>
        <w:ind w:firstLine="420" w:firstLineChars="200"/>
        <w:rPr>
          <w:rFonts w:hint="eastAsia" w:ascii="宋体" w:hAnsi="宋体" w:eastAsia="宋体" w:cs="宋体"/>
          <w:bCs/>
          <w:kern w:val="0"/>
        </w:rPr>
      </w:pPr>
      <w:r>
        <w:rPr>
          <w:rFonts w:hint="eastAsia" w:ascii="宋体" w:hAnsi="宋体" w:eastAsia="宋体" w:cs="宋体"/>
          <w:kern w:val="0"/>
        </w:rPr>
        <w:t>注：</w:t>
      </w:r>
      <w:r>
        <w:rPr>
          <w:rFonts w:hint="eastAsia" w:ascii="宋体" w:hAnsi="宋体" w:eastAsia="宋体" w:cs="宋体"/>
          <w:bCs/>
          <w:kern w:val="0"/>
        </w:rPr>
        <w:t>以上合同价包含本项目实施所需的一切费用，乙方需提供本项目采购明细清单（若项目要求）。</w:t>
      </w:r>
    </w:p>
    <w:p w14:paraId="3007FEB4">
      <w:pPr>
        <w:pageBreakBefore w:val="0"/>
        <w:kinsoku/>
        <w:wordWrap w:val="0"/>
        <w:topLinePunct/>
        <w:bidi w:val="0"/>
        <w:adjustRightInd w:val="0"/>
        <w:spacing w:beforeAutospacing="0" w:afterAutospacing="0" w:line="440" w:lineRule="exact"/>
        <w:ind w:firstLine="420" w:firstLineChars="200"/>
        <w:rPr>
          <w:rFonts w:hint="eastAsia" w:ascii="宋体" w:hAnsi="宋体" w:eastAsia="宋体" w:cs="宋体"/>
          <w:bCs/>
          <w:color w:val="FF0000"/>
          <w:kern w:val="0"/>
          <w:highlight w:val="none"/>
          <w:lang w:val="en-US" w:eastAsia="zh-CN"/>
        </w:rPr>
      </w:pPr>
      <w:r>
        <w:rPr>
          <w:rFonts w:hint="eastAsia" w:ascii="宋体" w:hAnsi="宋体" w:eastAsia="宋体" w:cs="宋体"/>
          <w:bCs/>
          <w:kern w:val="0"/>
          <w:lang w:val="en-US" w:eastAsia="zh-CN"/>
        </w:rPr>
        <w:t>合同形式：</w:t>
      </w:r>
      <w:r>
        <w:rPr>
          <w:rFonts w:hint="eastAsia" w:ascii="宋体" w:hAnsi="宋体" w:eastAsia="宋体" w:cs="宋体"/>
          <w:bCs/>
          <w:color w:val="FF0000"/>
          <w:kern w:val="0"/>
          <w:highlight w:val="none"/>
          <w:lang w:val="en-US" w:eastAsia="zh-CN"/>
        </w:rPr>
        <w:t>固定总价合同/固定单价合同。</w:t>
      </w:r>
    </w:p>
    <w:p w14:paraId="6525F347">
      <w:pPr>
        <w:pageBreakBefore w:val="0"/>
        <w:kinsoku/>
        <w:wordWrap w:val="0"/>
        <w:topLinePunct/>
        <w:bidi w:val="0"/>
        <w:adjustRightInd w:val="0"/>
        <w:spacing w:beforeAutospacing="0" w:afterAutospacing="0" w:line="44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第二条：质量保证</w:t>
      </w:r>
    </w:p>
    <w:p w14:paraId="5FF90AD1">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本项目标的物的质保期为：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乙方保证本合同中所供应的商品符合国家技术规格和质量标准的出产合格产品，且提供的货物是货物生产厂商原造、全新、未使用过的，并完全符合甲方的各项使用目的或在采购时提出的各项需要，在质量、规格型号等方面与本合同规定的性能要求相符合，所供产品须是合法渠道，验收时乙方有出示合法进货单的义务。</w:t>
      </w:r>
    </w:p>
    <w:p w14:paraId="65F3E8D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乙方应建立和完善履行合同的内部质量保证体系，并提供相关内部规章制度给甲方，以便甲方进行监督检查；</w:t>
      </w:r>
    </w:p>
    <w:p w14:paraId="3C3FCC0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乙方应保证履行合同的人员数量和素质、软件和硬件设备的配置、场地、环境和设施等满足全面履行合同的要求，并应接受甲方的监督检查。</w:t>
      </w:r>
    </w:p>
    <w:p w14:paraId="0EE24BBF">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乙方应确保项目技术人员的数量和水平与投标文件一致。未经甲方书面同意，乙方不得擅自更换投标文件中注明的项目经理和技术负责人。否则甲方有权放弃或终止合同，并没收履约保证金。</w:t>
      </w:r>
    </w:p>
    <w:p w14:paraId="0A21A1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因乙方原因造成甲方其他系统不能正常运行，酿成重大事故（工作日系统中断一天以上）的，乙方应承担全部法律责任，并赔偿经济损失，赔偿金额为项目总价的30%。    </w:t>
      </w:r>
    </w:p>
    <w:p w14:paraId="3A74C9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rPr>
        <w:t>第三条：</w:t>
      </w:r>
      <w:r>
        <w:rPr>
          <w:rFonts w:hint="eastAsia" w:ascii="宋体" w:hAnsi="宋体" w:eastAsia="宋体" w:cs="宋体"/>
          <w:b/>
          <w:bCs/>
          <w:sz w:val="24"/>
          <w:szCs w:val="24"/>
          <w:highlight w:val="none"/>
          <w:lang w:val="en-US" w:eastAsia="zh-CN"/>
        </w:rPr>
        <w:t>标的物交付期限、地点、方式</w:t>
      </w:r>
    </w:p>
    <w:p w14:paraId="48B88C1B">
      <w:pPr>
        <w:keepNext w:val="0"/>
        <w:keepLines w:val="0"/>
        <w:pageBreakBefore w:val="0"/>
        <w:widowControl w:val="0"/>
        <w:kinsoku/>
        <w:wordWrap/>
        <w:overflowPunct/>
        <w:topLinePunct w:val="0"/>
        <w:bidi w:val="0"/>
        <w:adjustRightInd/>
        <w:spacing w:beforeAutospacing="0" w:afterAutospacing="0"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交付期限：</w:t>
      </w:r>
      <w:r>
        <w:rPr>
          <w:rFonts w:hint="eastAsia" w:ascii="宋体" w:hAnsi="宋体" w:eastAsia="宋体" w:cs="宋体"/>
          <w:sz w:val="24"/>
          <w:szCs w:val="24"/>
          <w:highlight w:val="none"/>
          <w:u w:val="single"/>
          <w:lang w:val="en-US" w:eastAsia="zh-CN"/>
        </w:rPr>
        <w:t xml:space="preserve">                                 </w:t>
      </w:r>
    </w:p>
    <w:p w14:paraId="3800007D">
      <w:pPr>
        <w:keepNext w:val="0"/>
        <w:keepLines w:val="0"/>
        <w:pageBreakBefore w:val="0"/>
        <w:widowControl w:val="0"/>
        <w:kinsoku/>
        <w:wordWrap/>
        <w:overflowPunct/>
        <w:topLinePunct w:val="0"/>
        <w:bidi w:val="0"/>
        <w:adjustRightInd/>
        <w:spacing w:beforeAutospacing="0" w:afterAutospacing="0"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交付地点：</w:t>
      </w:r>
      <w:r>
        <w:rPr>
          <w:rFonts w:hint="eastAsia" w:ascii="宋体" w:hAnsi="宋体" w:eastAsia="宋体" w:cs="宋体"/>
          <w:sz w:val="24"/>
          <w:szCs w:val="24"/>
          <w:highlight w:val="none"/>
          <w:u w:val="single"/>
          <w:lang w:val="en-US" w:eastAsia="zh-CN"/>
        </w:rPr>
        <w:t xml:space="preserve">                                 </w:t>
      </w:r>
    </w:p>
    <w:p w14:paraId="4391C46B">
      <w:pPr>
        <w:keepNext w:val="0"/>
        <w:keepLines w:val="0"/>
        <w:pageBreakBefore w:val="0"/>
        <w:widowControl w:val="0"/>
        <w:kinsoku/>
        <w:wordWrap/>
        <w:overflowPunct/>
        <w:topLinePunct w:val="0"/>
        <w:bidi w:val="0"/>
        <w:adjustRightIn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交付方式：</w:t>
      </w:r>
      <w:r>
        <w:rPr>
          <w:rFonts w:hint="eastAsia" w:ascii="宋体" w:hAnsi="宋体" w:eastAsia="宋体" w:cs="宋体"/>
          <w:sz w:val="24"/>
          <w:szCs w:val="24"/>
          <w:highlight w:val="none"/>
          <w:u w:val="single"/>
          <w:lang w:val="en-US" w:eastAsia="zh-CN"/>
        </w:rPr>
        <w:t xml:space="preserve">                                 </w:t>
      </w:r>
    </w:p>
    <w:p w14:paraId="61C12B67">
      <w:pPr>
        <w:pageBreakBefore w:val="0"/>
        <w:widowControl w:val="0"/>
        <w:kinsoku/>
        <w:wordWrap/>
        <w:overflowPunct/>
        <w:topLinePunct w:val="0"/>
        <w:bidi w:val="0"/>
        <w:adjustRightInd/>
        <w:spacing w:beforeAutospacing="0" w:afterAutospacing="0" w:line="44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交付说明：</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标的物</w:t>
      </w:r>
      <w:r>
        <w:rPr>
          <w:rFonts w:hint="eastAsia" w:ascii="宋体" w:hAnsi="宋体" w:eastAsia="宋体" w:cs="宋体"/>
          <w:sz w:val="24"/>
          <w:szCs w:val="24"/>
          <w:highlight w:val="none"/>
        </w:rPr>
        <w:t>交付使用时，乙方</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向甲方提供发票、产品合格证、使用维修说明书、质量保证书、保修卡等</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具备的相关资料和必备的附件。为</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办理设备保修手续，并向</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提供原产服务承诺书原件。乙方</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提供切实、高效、优质的售后服务，主要产品按要求提供原厂家质保承诺书。供货时，</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在商品的右侧面显著位置粘贴公司标签，注明公司名称、地址、服务电话及供货日期等。</w:t>
      </w:r>
    </w:p>
    <w:p w14:paraId="28F6B6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第四条：技术规范</w:t>
      </w:r>
    </w:p>
    <w:p w14:paraId="333F9DE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的物所应遵守的技术规范应与采购文件规定的技术规范和技术规范附件(如果有的话)及其技术规格偏离表(如果被甲方接受的话)相一致；如果采购文件中没有技术规范的相应说明，那么应以国家有关部门最新颁布的相应标准和规范为准。</w:t>
      </w:r>
    </w:p>
    <w:p w14:paraId="2BB022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第五条：知识产权</w:t>
      </w:r>
    </w:p>
    <w:p w14:paraId="7BDEFF45">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应保证甲方在使用该标的物或其任何一部分时不受任何第三方提出的侵犯其著作权、商标权、专利权等知识产权方面的起诉；如果任何第三方提出侵权指控，那么乙方须与该第三方交涉并承担由此发生的一切责任、费用和赔偿；</w:t>
      </w:r>
    </w:p>
    <w:p w14:paraId="5DE602A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具有知识产权的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等标的物的知识产权归属，详见以下专用条款：</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7090D8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第六条：技术资料和保密义务</w:t>
      </w:r>
    </w:p>
    <w:p w14:paraId="34C9A9EF">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乙方有权依据合同约定和项目需要，向甲方了解有关情况，调阅有关资料等，甲方应予积极配合；</w:t>
      </w:r>
    </w:p>
    <w:p w14:paraId="1600E61A">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乙方有义务妥善保管和保护由甲方提供的前款信息和资料等；</w:t>
      </w:r>
    </w:p>
    <w:p w14:paraId="67DBC24E">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B8A52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第七条：包装和运输（货物类）</w:t>
      </w:r>
    </w:p>
    <w:p w14:paraId="035B52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bCs/>
          <w:kern w:val="0"/>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另有约定外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乙方交付的全部标的物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均应采用本行业通用的方式进行包装，没有通用方式的，应当采取足以保护标的物的包装方式，且该包装应符合国家有关包装的法律、法规的规定。乙方提供产品及相关快递服务的具体包装要求应符合《商品包装政府采购需求标准（试行）》《快递包装政府采购需求标准（试行）》，并作为履约验收的内容，必要时甲方可以要求乙方在履约验收环节出具检测报告。 如有必要，包装应适用于远距离运输、防潮、防震、防锈和防粗暴装卸，确保标的物安全无损地运抵现场。由于包装不善所引起的标的物锈蚀、损坏和损失等一切风险均由乙方承担。</w:t>
      </w:r>
    </w:p>
    <w:p w14:paraId="17F753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2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0"/>
        </w:rPr>
        <w:t>第</w:t>
      </w:r>
      <w:r>
        <w:rPr>
          <w:rFonts w:hint="eastAsia" w:ascii="宋体" w:hAnsi="宋体" w:eastAsia="宋体" w:cs="宋体"/>
          <w:b/>
          <w:bCs/>
          <w:kern w:val="0"/>
          <w:lang w:eastAsia="zh-CN"/>
        </w:rPr>
        <w:t>八</w:t>
      </w:r>
      <w:r>
        <w:rPr>
          <w:rFonts w:hint="eastAsia" w:ascii="宋体" w:hAnsi="宋体" w:eastAsia="宋体" w:cs="宋体"/>
          <w:b/>
          <w:bCs/>
          <w:kern w:val="0"/>
        </w:rPr>
        <w:t>条：</w:t>
      </w:r>
      <w:r>
        <w:rPr>
          <w:rFonts w:hint="eastAsia" w:ascii="宋体" w:hAnsi="宋体" w:eastAsia="宋体" w:cs="宋体"/>
          <w:b/>
          <w:bCs/>
          <w:sz w:val="24"/>
          <w:szCs w:val="24"/>
          <w:highlight w:val="none"/>
          <w:lang w:val="en-US" w:eastAsia="zh-CN"/>
        </w:rPr>
        <w:t>检验和验收</w:t>
      </w:r>
    </w:p>
    <w:p w14:paraId="6C0DC2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7DEEB2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合同履行期间，甲方有权将履行过程中出现的问题反馈给乙方，双方当事人应以书面形式约定需要完善和改进的内容。</w:t>
      </w:r>
    </w:p>
    <w:p w14:paraId="79D130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标的物交付前，乙方应对标的物的质量、数量等方面进行详细、全面的检验，并向甲方出具证明标的物符合合同约定的文件；标的物交付时，乙方在合同约定时间内组织验收，并可依法邀请相关方参加，验收应出具</w:t>
      </w:r>
      <w:r>
        <w:rPr>
          <w:rFonts w:hint="eastAsia" w:ascii="宋体" w:hAnsi="宋体" w:eastAsia="宋体" w:cs="宋体"/>
          <w:sz w:val="24"/>
          <w:szCs w:val="24"/>
          <w:highlight w:val="none"/>
          <w:lang w:eastAsia="zh-CN"/>
        </w:rPr>
        <w:t>验收报告</w:t>
      </w:r>
      <w:r>
        <w:rPr>
          <w:rFonts w:hint="eastAsia" w:ascii="宋体" w:hAnsi="宋体" w:eastAsia="宋体" w:cs="宋体"/>
          <w:sz w:val="24"/>
          <w:szCs w:val="24"/>
          <w:highlight w:val="none"/>
        </w:rPr>
        <w:t>。</w:t>
      </w:r>
    </w:p>
    <w:p w14:paraId="21B8B7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合同期满或者履行完毕后，甲方有权组织（包括依法邀请国家认可的质量检测机构参加）对乙方履约的验收，即：按照合同约定的技术、服务、安全标准，组织对每一项技术、服务、安全标准的履约情况的验收，并出具</w:t>
      </w:r>
      <w:r>
        <w:rPr>
          <w:rFonts w:hint="eastAsia" w:ascii="宋体" w:hAnsi="宋体" w:eastAsia="宋体" w:cs="宋体"/>
          <w:sz w:val="24"/>
          <w:szCs w:val="24"/>
          <w:highlight w:val="none"/>
          <w:lang w:eastAsia="zh-CN"/>
        </w:rPr>
        <w:t>验收报告</w:t>
      </w:r>
      <w:r>
        <w:rPr>
          <w:rFonts w:hint="eastAsia" w:ascii="宋体" w:hAnsi="宋体" w:eastAsia="宋体" w:cs="宋体"/>
          <w:sz w:val="24"/>
          <w:szCs w:val="24"/>
          <w:highlight w:val="none"/>
        </w:rPr>
        <w:t>。</w:t>
      </w:r>
    </w:p>
    <w:p w14:paraId="0DD951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检验和验收</w:t>
      </w:r>
      <w:r>
        <w:rPr>
          <w:rFonts w:hint="eastAsia" w:ascii="宋体" w:hAnsi="宋体" w:eastAsia="宋体" w:cs="宋体"/>
          <w:sz w:val="24"/>
          <w:szCs w:val="24"/>
          <w:highlight w:val="none"/>
          <w:lang w:eastAsia="zh-CN"/>
        </w:rPr>
        <w:t>的时间、方案及</w:t>
      </w:r>
      <w:r>
        <w:rPr>
          <w:rFonts w:hint="eastAsia" w:ascii="宋体" w:hAnsi="宋体" w:eastAsia="宋体" w:cs="宋体"/>
          <w:sz w:val="24"/>
          <w:szCs w:val="24"/>
          <w:highlight w:val="none"/>
        </w:rPr>
        <w:t>标准、程序</w:t>
      </w:r>
      <w:r>
        <w:rPr>
          <w:rFonts w:hint="eastAsia" w:ascii="宋体" w:hAnsi="宋体" w:eastAsia="宋体" w:cs="宋体"/>
          <w:sz w:val="24"/>
          <w:szCs w:val="24"/>
          <w:highlight w:val="none"/>
          <w:lang w:eastAsia="zh-CN"/>
        </w:rPr>
        <w:t>、费用</w:t>
      </w:r>
      <w:r>
        <w:rPr>
          <w:rFonts w:hint="eastAsia" w:ascii="宋体" w:hAnsi="宋体" w:eastAsia="宋体" w:cs="宋体"/>
          <w:sz w:val="24"/>
          <w:szCs w:val="24"/>
          <w:highlight w:val="none"/>
        </w:rPr>
        <w:t>等具体内容以及前述</w:t>
      </w:r>
      <w:r>
        <w:rPr>
          <w:rFonts w:hint="eastAsia" w:ascii="宋体" w:hAnsi="宋体" w:eastAsia="宋体" w:cs="宋体"/>
          <w:sz w:val="24"/>
          <w:szCs w:val="24"/>
          <w:highlight w:val="none"/>
          <w:lang w:eastAsia="zh-CN"/>
        </w:rPr>
        <w:t>验收报告</w:t>
      </w:r>
      <w:r>
        <w:rPr>
          <w:rFonts w:hint="eastAsia" w:ascii="宋体" w:hAnsi="宋体" w:eastAsia="宋体" w:cs="宋体"/>
          <w:sz w:val="24"/>
          <w:szCs w:val="24"/>
          <w:highlight w:val="none"/>
        </w:rPr>
        <w:t>的效力</w:t>
      </w:r>
      <w:r>
        <w:rPr>
          <w:rFonts w:hint="eastAsia" w:ascii="宋体" w:hAnsi="宋体" w:eastAsia="宋体" w:cs="宋体"/>
          <w:sz w:val="24"/>
          <w:szCs w:val="24"/>
          <w:highlight w:val="none"/>
          <w:lang w:eastAsia="zh-CN"/>
        </w:rPr>
        <w:t>如下：</w:t>
      </w:r>
      <w:r>
        <w:rPr>
          <w:rFonts w:hint="eastAsia" w:ascii="宋体" w:hAnsi="宋体" w:eastAsia="宋体" w:cs="宋体"/>
          <w:sz w:val="24"/>
          <w:szCs w:val="24"/>
          <w:highlight w:val="none"/>
          <w:lang w:val="en-US" w:eastAsia="zh-CN"/>
        </w:rPr>
        <w:t xml:space="preserve">                               </w:t>
      </w:r>
    </w:p>
    <w:p w14:paraId="0A8412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特别说明：</w:t>
      </w:r>
      <w:r>
        <w:rPr>
          <w:rFonts w:hint="eastAsia" w:ascii="宋体" w:hAnsi="宋体" w:eastAsia="宋体" w:cs="宋体"/>
          <w:sz w:val="24"/>
          <w:szCs w:val="24"/>
          <w:highlight w:val="none"/>
          <w:lang w:val="en-US" w:eastAsia="zh-CN"/>
        </w:rPr>
        <w:t>请参考采购文件要求。）</w:t>
      </w:r>
    </w:p>
    <w:p w14:paraId="552029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w:t>
      </w:r>
      <w:r>
        <w:rPr>
          <w:rFonts w:hint="eastAsia" w:ascii="宋体" w:hAnsi="宋体" w:eastAsia="宋体" w:cs="宋体"/>
          <w:b/>
          <w:bCs/>
          <w:kern w:val="0"/>
          <w:sz w:val="24"/>
          <w:szCs w:val="24"/>
          <w:lang w:eastAsia="zh-CN"/>
        </w:rPr>
        <w:t>九</w:t>
      </w:r>
      <w:r>
        <w:rPr>
          <w:rFonts w:hint="eastAsia" w:ascii="宋体" w:hAnsi="宋体" w:eastAsia="宋体" w:cs="宋体"/>
          <w:b/>
          <w:bCs/>
          <w:kern w:val="0"/>
          <w:sz w:val="24"/>
          <w:szCs w:val="24"/>
        </w:rPr>
        <w:t>条：</w:t>
      </w:r>
      <w:r>
        <w:rPr>
          <w:rFonts w:hint="eastAsia" w:ascii="宋体" w:hAnsi="宋体" w:eastAsia="宋体" w:cs="宋体"/>
          <w:b/>
          <w:bCs/>
          <w:kern w:val="0"/>
          <w:sz w:val="24"/>
          <w:szCs w:val="24"/>
          <w:lang w:val="en-US" w:eastAsia="zh-CN"/>
        </w:rPr>
        <w:t>合同</w:t>
      </w:r>
      <w:r>
        <w:rPr>
          <w:rFonts w:hint="eastAsia" w:ascii="宋体" w:hAnsi="宋体" w:eastAsia="宋体" w:cs="宋体"/>
          <w:b/>
          <w:bCs/>
          <w:kern w:val="0"/>
          <w:sz w:val="24"/>
          <w:szCs w:val="24"/>
        </w:rPr>
        <w:t>款的支付</w:t>
      </w:r>
    </w:p>
    <w:p w14:paraId="5B9A22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按季度支付，每个季度服务完成后支付合同价的25%，乙方提供的正规发票。</w:t>
      </w:r>
    </w:p>
    <w:p w14:paraId="78CC23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2.乙方信息</w:t>
      </w:r>
    </w:p>
    <w:p w14:paraId="31A71B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乙方开户行名称：_________________</w:t>
      </w:r>
    </w:p>
    <w:p w14:paraId="1D3F99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开户行账号：_____________________</w:t>
      </w:r>
    </w:p>
    <w:p w14:paraId="6B343048">
      <w:pPr>
        <w:pageBreakBefore w:val="0"/>
        <w:kinsoku/>
        <w:wordWrap w:val="0"/>
        <w:topLinePunct/>
        <w:bidi w:val="0"/>
        <w:adjustRightInd w:val="0"/>
        <w:spacing w:beforeAutospacing="0" w:afterAutospacing="0" w:line="44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第</w:t>
      </w:r>
      <w:r>
        <w:rPr>
          <w:rFonts w:hint="eastAsia" w:ascii="宋体" w:hAnsi="宋体" w:eastAsia="宋体" w:cs="宋体"/>
          <w:b/>
          <w:bCs/>
          <w:kern w:val="0"/>
          <w:sz w:val="24"/>
          <w:szCs w:val="24"/>
          <w:highlight w:val="none"/>
          <w:lang w:eastAsia="zh-CN"/>
        </w:rPr>
        <w:t>十</w:t>
      </w:r>
      <w:r>
        <w:rPr>
          <w:rFonts w:hint="eastAsia" w:ascii="宋体" w:hAnsi="宋体" w:eastAsia="宋体" w:cs="宋体"/>
          <w:b/>
          <w:bCs/>
          <w:kern w:val="0"/>
          <w:sz w:val="24"/>
          <w:szCs w:val="24"/>
          <w:highlight w:val="none"/>
        </w:rPr>
        <w:t>条：履约保证金</w:t>
      </w:r>
    </w:p>
    <w:p w14:paraId="47625548">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1.本项目无需缴纳履约保证金</w:t>
      </w:r>
    </w:p>
    <w:p w14:paraId="128230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第十一条：售后服务</w:t>
      </w:r>
    </w:p>
    <w:p w14:paraId="3EB0308E">
      <w:pPr>
        <w:pStyle w:val="168"/>
        <w:keepNext w:val="0"/>
        <w:keepLines w:val="0"/>
        <w:pageBreakBefore w:val="0"/>
        <w:widowControl w:val="0"/>
        <w:kinsoku/>
        <w:wordWrap/>
        <w:overflowPunct/>
        <w:topLinePunct w:val="0"/>
        <w:autoSpaceDE/>
        <w:autoSpaceDN/>
        <w:bidi w:val="0"/>
        <w:adjustRightInd/>
        <w:snapToGrid/>
        <w:spacing w:beforeLines="0" w:beforeAutospacing="0" w:afterLines="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w:t>
      </w:r>
      <w:r>
        <w:rPr>
          <w:rFonts w:hint="eastAsia" w:ascii="宋体" w:hAnsi="宋体" w:eastAsia="宋体" w:cs="宋体"/>
          <w:sz w:val="24"/>
          <w:szCs w:val="24"/>
          <w:highlight w:val="none"/>
          <w:lang w:val="en-US" w:eastAsia="zh-CN"/>
        </w:rPr>
        <w:t>根据投标文件</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售后服务承诺：</w:t>
      </w:r>
    </w:p>
    <w:p w14:paraId="39F7DED6">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本合同项下货物的</w:t>
      </w:r>
      <w:r>
        <w:rPr>
          <w:rFonts w:hint="eastAsia" w:ascii="宋体" w:hAnsi="宋体" w:eastAsia="宋体" w:cs="宋体"/>
          <w:sz w:val="24"/>
          <w:szCs w:val="24"/>
          <w:highlight w:val="none"/>
          <w:lang w:eastAsia="zh-CN"/>
        </w:rPr>
        <w:t>售后服务期</w:t>
      </w:r>
      <w:r>
        <w:rPr>
          <w:rFonts w:hint="eastAsia" w:ascii="宋体" w:hAnsi="宋体" w:eastAsia="宋体" w:cs="宋体"/>
          <w:sz w:val="24"/>
          <w:szCs w:val="24"/>
          <w:highlight w:val="none"/>
        </w:rPr>
        <w:t>或与质量相关的其它期限均自按照本合同约定方式完成最终验收并由甲方签署了货物最终验收单之日起算，经双方协商一致特别约定的除外。本项目</w:t>
      </w:r>
      <w:r>
        <w:rPr>
          <w:rFonts w:hint="eastAsia" w:ascii="宋体" w:hAnsi="宋体" w:eastAsia="宋体" w:cs="宋体"/>
          <w:sz w:val="24"/>
          <w:szCs w:val="24"/>
          <w:highlight w:val="none"/>
          <w:lang w:eastAsia="zh-CN"/>
        </w:rPr>
        <w:t>售后服务期</w:t>
      </w:r>
      <w:r>
        <w:rPr>
          <w:rFonts w:hint="eastAsia" w:ascii="宋体" w:hAnsi="宋体" w:eastAsia="宋体" w:cs="宋体"/>
          <w:sz w:val="24"/>
          <w:szCs w:val="24"/>
          <w:highlight w:val="none"/>
        </w:rPr>
        <w:t>为最终验收合格之日起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个月。</w:t>
      </w:r>
    </w:p>
    <w:p w14:paraId="743BC5FF">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乙方在</w:t>
      </w:r>
      <w:r>
        <w:rPr>
          <w:rFonts w:hint="eastAsia" w:ascii="宋体" w:hAnsi="宋体" w:eastAsia="宋体" w:cs="宋体"/>
          <w:sz w:val="24"/>
          <w:szCs w:val="24"/>
          <w:highlight w:val="none"/>
          <w:lang w:eastAsia="zh-CN"/>
        </w:rPr>
        <w:t>售后服务期</w:t>
      </w:r>
      <w:r>
        <w:rPr>
          <w:rFonts w:hint="eastAsia" w:ascii="宋体" w:hAnsi="宋体" w:eastAsia="宋体" w:cs="宋体"/>
          <w:sz w:val="24"/>
          <w:szCs w:val="24"/>
          <w:highlight w:val="none"/>
        </w:rPr>
        <w:t>内应对提供的所有货物进行常规检查、调整等。</w:t>
      </w:r>
    </w:p>
    <w:p w14:paraId="334DE3FE">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乙方负责对甲方人员的全免（含交通食宿）集中技术培训（≥</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人），及不少于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年的免费售后现场技术服务。</w:t>
      </w:r>
    </w:p>
    <w:p w14:paraId="57D93B97">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货物在</w:t>
      </w:r>
      <w:r>
        <w:rPr>
          <w:rFonts w:hint="eastAsia" w:ascii="宋体" w:hAnsi="宋体" w:eastAsia="宋体" w:cs="宋体"/>
          <w:sz w:val="24"/>
          <w:szCs w:val="24"/>
          <w:highlight w:val="none"/>
          <w:lang w:eastAsia="zh-CN"/>
        </w:rPr>
        <w:t>售后服务期</w:t>
      </w:r>
      <w:r>
        <w:rPr>
          <w:rFonts w:hint="eastAsia" w:ascii="宋体" w:hAnsi="宋体" w:eastAsia="宋体" w:cs="宋体"/>
          <w:sz w:val="24"/>
          <w:szCs w:val="24"/>
          <w:highlight w:val="none"/>
        </w:rPr>
        <w:t>内，如因乙方提供的货物硬件或软件有缺陷，或乙方提供的技术资料有错误，或乙方在现场的技术人员指导有错误而使货物不能达到合同规定的指标和技术性能，乙方应按本合同项下相关条款规定实行包修、包换、包退，使货物运行指标和技术性能达到合同规定，由此产生的全部费用和直接经济损失由乙方承担。 若因软件或硬件缺陷导致或引起甲方损失及导致或引起第三方受到损害的，全部赔偿责任均应由乙方承担。</w:t>
      </w:r>
    </w:p>
    <w:p w14:paraId="455DFC75">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货物在</w:t>
      </w:r>
      <w:r>
        <w:rPr>
          <w:rFonts w:hint="eastAsia" w:ascii="宋体" w:hAnsi="宋体" w:eastAsia="宋体" w:cs="宋体"/>
          <w:sz w:val="24"/>
          <w:szCs w:val="24"/>
          <w:highlight w:val="none"/>
          <w:lang w:eastAsia="zh-CN"/>
        </w:rPr>
        <w:t>售后服务期</w:t>
      </w:r>
      <w:r>
        <w:rPr>
          <w:rFonts w:hint="eastAsia" w:ascii="宋体" w:hAnsi="宋体" w:eastAsia="宋体" w:cs="宋体"/>
          <w:sz w:val="24"/>
          <w:szCs w:val="24"/>
          <w:highlight w:val="none"/>
        </w:rPr>
        <w:t>内，如因甲方使用不当、维护不当或者保管不当而引起的缺陷或损坏，乙方不负免费保修的责任，由此产生的合理费用由甲方承担。</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rPr>
        <w:t>满后，乙方仍提供维护服务，收取成本费。</w:t>
      </w:r>
    </w:p>
    <w:p w14:paraId="492E59E4">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货物在</w:t>
      </w:r>
      <w:r>
        <w:rPr>
          <w:rFonts w:hint="eastAsia" w:ascii="宋体" w:hAnsi="宋体" w:eastAsia="宋体" w:cs="宋体"/>
          <w:sz w:val="24"/>
          <w:szCs w:val="24"/>
          <w:highlight w:val="none"/>
          <w:lang w:eastAsia="zh-CN"/>
        </w:rPr>
        <w:t>售后服务期</w:t>
      </w:r>
      <w:r>
        <w:rPr>
          <w:rFonts w:hint="eastAsia" w:ascii="宋体" w:hAnsi="宋体" w:eastAsia="宋体" w:cs="宋体"/>
          <w:sz w:val="24"/>
          <w:szCs w:val="24"/>
          <w:highlight w:val="none"/>
        </w:rPr>
        <w:t>内或在应当由乙方负责的其他情况下，若由于乙方原因而造成货物不得不停止使用的情形，货物</w:t>
      </w:r>
      <w:r>
        <w:rPr>
          <w:rFonts w:hint="eastAsia" w:ascii="宋体" w:hAnsi="宋体" w:eastAsia="宋体" w:cs="宋体"/>
          <w:sz w:val="24"/>
          <w:szCs w:val="24"/>
          <w:highlight w:val="none"/>
          <w:lang w:eastAsia="zh-CN"/>
        </w:rPr>
        <w:t>售后服务期及质保期</w:t>
      </w:r>
      <w:r>
        <w:rPr>
          <w:rFonts w:hint="eastAsia" w:ascii="宋体" w:hAnsi="宋体" w:eastAsia="宋体" w:cs="宋体"/>
          <w:sz w:val="24"/>
          <w:szCs w:val="24"/>
          <w:highlight w:val="none"/>
        </w:rPr>
        <w:t>应依照停止使用的实际时间加以延长，由此给甲方造成的损失由乙方承担。</w:t>
      </w:r>
    </w:p>
    <w:p w14:paraId="4DA88FDC">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乙方应提供电话、电子邮件、现场服务等方式的7*24小时的技术支持。若设备发生故障，乙方应在接到通知之时起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小时内赶赴现场处理问题。一般故障</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小时内解决，重大故障</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小时内解决。</w:t>
      </w:r>
    </w:p>
    <w:p w14:paraId="305D5058">
      <w:pPr>
        <w:pStyle w:val="168"/>
        <w:keepNext w:val="0"/>
        <w:keepLines w:val="0"/>
        <w:pageBreakBefore w:val="0"/>
        <w:widowControl w:val="0"/>
        <w:numPr>
          <w:ilvl w:val="0"/>
          <w:numId w:val="5"/>
        </w:numPr>
        <w:kinsoku/>
        <w:wordWrap/>
        <w:overflowPunct/>
        <w:topLinePunct w:val="0"/>
        <w:autoSpaceDE/>
        <w:autoSpaceDN/>
        <w:bidi w:val="0"/>
        <w:adjustRightInd/>
        <w:snapToGrid/>
        <w:spacing w:beforeLines="0" w:beforeAutospacing="0" w:afterLines="0" w:afterAutospacing="0"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如投标文件中承诺优于本条规定或其他本条未涉及的承诺，按投标文件中承诺执行。</w:t>
      </w:r>
    </w:p>
    <w:p w14:paraId="31DB4C7C">
      <w:pPr>
        <w:pageBreakBefore w:val="0"/>
        <w:widowControl/>
        <w:kinsoku/>
        <w:wordWrap w:val="0"/>
        <w:topLinePunct/>
        <w:bidi w:val="0"/>
        <w:adjustRightInd w:val="0"/>
        <w:spacing w:beforeAutospacing="0" w:afterAutospacing="0" w:line="440" w:lineRule="exact"/>
        <w:ind w:firstLine="422" w:firstLineChars="200"/>
        <w:jc w:val="left"/>
        <w:textAlignment w:val="baseline"/>
        <w:rPr>
          <w:rFonts w:hint="eastAsia" w:ascii="宋体" w:hAnsi="宋体" w:eastAsia="宋体" w:cs="宋体"/>
          <w:b/>
          <w:bCs/>
          <w:kern w:val="0"/>
        </w:rPr>
      </w:pPr>
      <w:r>
        <w:rPr>
          <w:rFonts w:hint="eastAsia" w:ascii="宋体" w:hAnsi="宋体" w:eastAsia="宋体" w:cs="宋体"/>
          <w:b/>
          <w:bCs/>
          <w:kern w:val="0"/>
        </w:rPr>
        <w:t>第</w:t>
      </w:r>
      <w:r>
        <w:rPr>
          <w:rFonts w:hint="eastAsia" w:ascii="宋体" w:hAnsi="宋体" w:eastAsia="宋体" w:cs="宋体"/>
          <w:b/>
          <w:bCs/>
          <w:kern w:val="0"/>
          <w:lang w:eastAsia="zh-CN"/>
        </w:rPr>
        <w:t>十一</w:t>
      </w:r>
      <w:r>
        <w:rPr>
          <w:rFonts w:hint="eastAsia" w:ascii="宋体" w:hAnsi="宋体" w:eastAsia="宋体" w:cs="宋体"/>
          <w:b/>
          <w:bCs/>
          <w:kern w:val="0"/>
        </w:rPr>
        <w:t>条：违约责任</w:t>
      </w:r>
    </w:p>
    <w:p w14:paraId="057E022A">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除不可抗力外，如果乙方没有按照本合同约定的期限、地点和方式交付标的物，那么甲方可要求乙方支付违约金，违约金按每迟延交付标的物一日的应交付而未交付标的物价格的</w:t>
      </w:r>
      <w:r>
        <w:rPr>
          <w:rFonts w:hint="eastAsia" w:ascii="宋体" w:hAnsi="宋体" w:eastAsia="宋体" w:cs="宋体"/>
          <w:color w:val="auto"/>
          <w:sz w:val="24"/>
          <w:szCs w:val="24"/>
          <w:highlight w:val="none"/>
          <w:u w:val="single"/>
        </w:rPr>
        <w:t>万分之五</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%；迟延交付标的物的违约金计算数额达到前述最高限额之日起，甲方有权在要求乙方支付违约金的同时，书面通知乙方解除本合同；</w:t>
      </w:r>
    </w:p>
    <w:p w14:paraId="339F5BF5">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万分之五</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65DB8AB9">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9333FC">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6DE0C8">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307EAFC">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rPr>
        <w:t>如果出现政府采购监督管理部门在处理投诉事项期间，书面通知甲方暂停采购活动的情形，或者询问或质疑事项可能影响中标结果的，导致甲方中止履行合同的情形，均不视为甲方违约。</w:t>
      </w:r>
    </w:p>
    <w:p w14:paraId="0C65396A">
      <w:pPr>
        <w:pageBreakBefore w:val="0"/>
        <w:widowControl/>
        <w:shd w:val="clear" w:color="auto" w:fill="FFFFFF"/>
        <w:kinsoku/>
        <w:wordWrap w:val="0"/>
        <w:topLinePunct/>
        <w:bidi w:val="0"/>
        <w:adjustRightInd w:val="0"/>
        <w:spacing w:beforeAutospacing="0" w:afterAutospacing="0" w:line="440" w:lineRule="exact"/>
        <w:ind w:firstLine="482" w:firstLineChars="200"/>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十二</w:t>
      </w:r>
      <w:r>
        <w:rPr>
          <w:rFonts w:hint="eastAsia" w:ascii="宋体" w:hAnsi="宋体" w:eastAsia="宋体" w:cs="宋体"/>
          <w:b/>
          <w:bCs/>
          <w:sz w:val="24"/>
          <w:szCs w:val="24"/>
        </w:rPr>
        <w:t>条：不可抗力事件处理</w:t>
      </w:r>
    </w:p>
    <w:p w14:paraId="14D54E38">
      <w:pPr>
        <w:pageBreakBefore w:val="0"/>
        <w:widowControl/>
        <w:shd w:val="clear" w:color="auto" w:fill="FFFFFF"/>
        <w:kinsoku/>
        <w:wordWrap w:val="0"/>
        <w:topLinePunct/>
        <w:bidi w:val="0"/>
        <w:adjustRightInd w:val="0"/>
        <w:spacing w:beforeAutospacing="0" w:afterAutospacing="0" w:line="440" w:lineRule="exact"/>
        <w:ind w:firstLine="420" w:firstLineChars="200"/>
        <w:jc w:val="left"/>
        <w:textAlignment w:val="baseline"/>
        <w:rPr>
          <w:rFonts w:hint="eastAsia" w:ascii="宋体" w:hAnsi="宋体" w:eastAsia="宋体" w:cs="宋体"/>
          <w:bCs/>
        </w:rPr>
      </w:pPr>
      <w:r>
        <w:rPr>
          <w:rFonts w:hint="eastAsia" w:ascii="宋体" w:hAnsi="宋体" w:eastAsia="宋体" w:cs="宋体"/>
          <w:bCs/>
        </w:rPr>
        <w:t>1.在合同有效期内，任何一方因不可抗力事件导致不能履行合同，则合同履行期可延长，其延长期与不可抗力影响期相同。</w:t>
      </w:r>
    </w:p>
    <w:p w14:paraId="23277D57">
      <w:pPr>
        <w:pageBreakBefore w:val="0"/>
        <w:widowControl/>
        <w:shd w:val="clear" w:color="auto" w:fill="FFFFFF"/>
        <w:kinsoku/>
        <w:wordWrap w:val="0"/>
        <w:topLinePunct/>
        <w:bidi w:val="0"/>
        <w:adjustRightInd w:val="0"/>
        <w:spacing w:beforeAutospacing="0" w:afterAutospacing="0" w:line="440" w:lineRule="exact"/>
        <w:ind w:firstLine="420" w:firstLineChars="200"/>
        <w:jc w:val="left"/>
        <w:textAlignment w:val="baseline"/>
        <w:rPr>
          <w:rFonts w:hint="eastAsia" w:ascii="宋体" w:hAnsi="宋体" w:eastAsia="宋体" w:cs="宋体"/>
          <w:bCs/>
        </w:rPr>
      </w:pPr>
      <w:r>
        <w:rPr>
          <w:rFonts w:hint="eastAsia" w:ascii="宋体" w:hAnsi="宋体" w:eastAsia="宋体" w:cs="宋体"/>
          <w:bCs/>
        </w:rPr>
        <w:t>2.不可抗力事件发生后，应立即通知对方，并寄送有关权威机构出具的证明。</w:t>
      </w:r>
    </w:p>
    <w:p w14:paraId="69E2E31F">
      <w:pPr>
        <w:pageBreakBefore w:val="0"/>
        <w:widowControl/>
        <w:shd w:val="clear" w:color="auto" w:fill="FFFFFF"/>
        <w:kinsoku/>
        <w:wordWrap w:val="0"/>
        <w:topLinePunct/>
        <w:bidi w:val="0"/>
        <w:adjustRightInd w:val="0"/>
        <w:spacing w:beforeAutospacing="0" w:afterAutospacing="0" w:line="440" w:lineRule="exact"/>
        <w:ind w:firstLine="420" w:firstLineChars="200"/>
        <w:jc w:val="left"/>
        <w:textAlignment w:val="baseline"/>
        <w:rPr>
          <w:rFonts w:hint="eastAsia" w:ascii="宋体" w:hAnsi="宋体" w:eastAsia="宋体" w:cs="宋体"/>
          <w:bCs/>
        </w:rPr>
      </w:pPr>
      <w:r>
        <w:rPr>
          <w:rFonts w:hint="eastAsia" w:ascii="宋体" w:hAnsi="宋体" w:eastAsia="宋体" w:cs="宋体"/>
          <w:bCs/>
        </w:rPr>
        <w:t>3.不可抗力事件延续120天以上，双方应通过友好协商，确定是否继续履行合同。</w:t>
      </w:r>
    </w:p>
    <w:p w14:paraId="00B6E1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第十三条：合同的变更、中止和终止</w:t>
      </w:r>
    </w:p>
    <w:p w14:paraId="1233E3F8">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93211E6">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双方当事人不得擅自中止或者终止合同；</w:t>
      </w:r>
    </w:p>
    <w:p w14:paraId="290E6713">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合同继续履行将损害国家利益和社会公共利益的，双方当事人应当以书面形式变更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中止或者终止合同。有过错的一方应当承担赔偿责任，双方当事人都有过错的，各自承担相应的责任。</w:t>
      </w:r>
    </w:p>
    <w:p w14:paraId="1B40129C">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rFonts w:hint="eastAsia" w:ascii="宋体" w:hAnsi="宋体" w:eastAsia="宋体" w:cs="宋体"/>
          <w:b/>
          <w:bCs/>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若乙方未能在合同规定的限期或甲方同意延长的限期内提供部分或全部货物和服务，且甲方采取的任何补救措施不起作用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若乙方因破产或经营不善导致合同不能</w:t>
      </w:r>
      <w:r>
        <w:rPr>
          <w:rFonts w:hint="eastAsia" w:ascii="宋体" w:hAnsi="宋体" w:eastAsia="宋体" w:cs="宋体"/>
          <w:sz w:val="24"/>
          <w:szCs w:val="24"/>
          <w:highlight w:val="none"/>
          <w:lang w:val="en-US" w:eastAsia="zh-CN"/>
        </w:rPr>
        <w:t>继续</w:t>
      </w:r>
      <w:r>
        <w:rPr>
          <w:rFonts w:hint="eastAsia" w:ascii="宋体" w:hAnsi="宋体" w:eastAsia="宋体" w:cs="宋体"/>
          <w:sz w:val="24"/>
          <w:szCs w:val="24"/>
          <w:highlight w:val="none"/>
        </w:rPr>
        <w:t>履行，乙方应书面通知甲方终止合同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在甲方知情而未收到乙方终止合同书面通知时，甲方可在任何时候书面通知乙方终止合同。</w:t>
      </w:r>
    </w:p>
    <w:p w14:paraId="7E3DDB47">
      <w:pPr>
        <w:pageBreakBefore w:val="0"/>
        <w:widowControl/>
        <w:shd w:val="clear" w:color="auto" w:fill="FFFFFF"/>
        <w:kinsoku/>
        <w:wordWrap w:val="0"/>
        <w:topLinePunct/>
        <w:bidi w:val="0"/>
        <w:adjustRightInd w:val="0"/>
        <w:spacing w:beforeAutospacing="0" w:afterAutospacing="0" w:line="440" w:lineRule="exact"/>
        <w:ind w:firstLine="482" w:firstLineChars="200"/>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十四</w:t>
      </w:r>
      <w:r>
        <w:rPr>
          <w:rFonts w:hint="eastAsia" w:ascii="宋体" w:hAnsi="宋体" w:eastAsia="宋体" w:cs="宋体"/>
          <w:b/>
          <w:bCs/>
          <w:sz w:val="24"/>
          <w:szCs w:val="24"/>
        </w:rPr>
        <w:t>条：争议的解决</w:t>
      </w:r>
    </w:p>
    <w:p w14:paraId="046A7A45">
      <w:pPr>
        <w:pageBreakBefore w:val="0"/>
        <w:widowControl/>
        <w:shd w:val="clear" w:color="auto" w:fill="FFFFFF"/>
        <w:kinsoku/>
        <w:wordWrap w:val="0"/>
        <w:topLinePunct/>
        <w:bidi w:val="0"/>
        <w:adjustRightInd w:val="0"/>
        <w:spacing w:beforeAutospacing="0" w:afterAutospacing="0" w:line="440" w:lineRule="exact"/>
        <w:ind w:firstLine="420" w:firstLineChars="200"/>
        <w:jc w:val="left"/>
        <w:textAlignment w:val="baseline"/>
        <w:rPr>
          <w:rFonts w:hint="eastAsia" w:ascii="宋体" w:hAnsi="宋体" w:eastAsia="宋体" w:cs="宋体"/>
          <w:bCs/>
          <w:highlight w:val="none"/>
        </w:rPr>
      </w:pPr>
      <w:r>
        <w:rPr>
          <w:rFonts w:hint="eastAsia" w:ascii="宋体" w:hAnsi="宋体" w:eastAsia="宋体" w:cs="宋体"/>
          <w:bCs/>
          <w:highlight w:val="none"/>
        </w:rPr>
        <w:t>本合同为政府采购之合同，在发生</w:t>
      </w:r>
      <w:r>
        <w:rPr>
          <w:rFonts w:hint="eastAsia" w:ascii="宋体" w:hAnsi="宋体" w:eastAsia="宋体" w:cs="宋体"/>
          <w:bCs/>
          <w:highlight w:val="none"/>
          <w:lang w:eastAsia="zh-CN"/>
        </w:rPr>
        <w:t>产品</w:t>
      </w:r>
      <w:r>
        <w:rPr>
          <w:rFonts w:hint="eastAsia" w:ascii="宋体" w:hAnsi="宋体" w:eastAsia="宋体" w:cs="宋体"/>
          <w:bCs/>
          <w:highlight w:val="none"/>
          <w:lang w:val="en-US" w:eastAsia="zh-CN"/>
        </w:rPr>
        <w:t>/</w:t>
      </w:r>
      <w:r>
        <w:rPr>
          <w:rFonts w:hint="eastAsia" w:ascii="宋体" w:hAnsi="宋体" w:eastAsia="宋体" w:cs="宋体"/>
          <w:bCs/>
          <w:highlight w:val="none"/>
        </w:rPr>
        <w:t>服务</w:t>
      </w:r>
      <w:r>
        <w:rPr>
          <w:rFonts w:hint="eastAsia" w:ascii="宋体" w:hAnsi="宋体" w:eastAsia="宋体" w:cs="宋体"/>
          <w:bCs/>
          <w:highlight w:val="none"/>
          <w:lang w:val="en-US" w:eastAsia="zh-CN"/>
        </w:rPr>
        <w:t>质量</w:t>
      </w:r>
      <w:r>
        <w:rPr>
          <w:rFonts w:hint="eastAsia" w:ascii="宋体" w:hAnsi="宋体" w:eastAsia="宋体" w:cs="宋体"/>
          <w:bCs/>
          <w:highlight w:val="none"/>
        </w:rPr>
        <w:t>问题时，甲</w:t>
      </w:r>
      <w:r>
        <w:rPr>
          <w:rFonts w:hint="eastAsia" w:ascii="宋体" w:hAnsi="宋体" w:eastAsia="宋体" w:cs="宋体"/>
          <w:bCs/>
        </w:rPr>
        <w:t>方有权直接向</w:t>
      </w:r>
      <w:r>
        <w:rPr>
          <w:rFonts w:hint="eastAsia" w:ascii="宋体" w:hAnsi="宋体" w:eastAsia="宋体" w:cs="宋体"/>
          <w:bCs/>
          <w:lang w:eastAsia="zh-CN"/>
        </w:rPr>
        <w:t>乙</w:t>
      </w:r>
      <w:r>
        <w:rPr>
          <w:rFonts w:hint="eastAsia" w:ascii="宋体" w:hAnsi="宋体" w:eastAsia="宋体" w:cs="宋体"/>
          <w:bCs/>
        </w:rPr>
        <w:t>方索赔，签订必要的书面处理协议。如协商不成，任何一方有权在合同签约地选择</w:t>
      </w:r>
      <w:r>
        <w:rPr>
          <w:rFonts w:hint="eastAsia" w:ascii="宋体" w:hAnsi="宋体" w:eastAsia="宋体" w:cs="宋体"/>
          <w:bCs/>
          <w:highlight w:val="none"/>
        </w:rPr>
        <w:t>仲裁或诉讼的途径解决。</w:t>
      </w:r>
    </w:p>
    <w:p w14:paraId="0CDEFD01">
      <w:pPr>
        <w:pageBreakBefore w:val="0"/>
        <w:widowControl/>
        <w:shd w:val="clear" w:color="auto" w:fill="FFFFFF"/>
        <w:kinsoku/>
        <w:wordWrap w:val="0"/>
        <w:topLinePunct/>
        <w:bidi w:val="0"/>
        <w:adjustRightInd w:val="0"/>
        <w:spacing w:beforeAutospacing="0" w:afterAutospacing="0" w:line="440" w:lineRule="exact"/>
        <w:ind w:firstLine="482" w:firstLineChars="200"/>
        <w:jc w:val="left"/>
        <w:textAlignment w:val="baseline"/>
        <w:rPr>
          <w:rFonts w:hint="eastAsia" w:ascii="宋体" w:hAnsi="宋体" w:eastAsia="宋体" w:cs="宋体"/>
          <w:b/>
          <w:kern w:val="0"/>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条：</w:t>
      </w:r>
      <w:r>
        <w:rPr>
          <w:rFonts w:hint="eastAsia" w:ascii="宋体" w:hAnsi="宋体" w:eastAsia="宋体" w:cs="宋体"/>
          <w:b/>
          <w:kern w:val="0"/>
          <w:sz w:val="24"/>
          <w:szCs w:val="24"/>
        </w:rPr>
        <w:t>合同的生效</w:t>
      </w:r>
    </w:p>
    <w:p w14:paraId="562BE595">
      <w:pPr>
        <w:pageBreakBefore w:val="0"/>
        <w:widowControl/>
        <w:shd w:val="clear" w:color="auto" w:fill="FFFFFF"/>
        <w:kinsoku/>
        <w:wordWrap w:val="0"/>
        <w:topLinePunct/>
        <w:bidi w:val="0"/>
        <w:adjustRightInd w:val="0"/>
        <w:spacing w:beforeAutospacing="0" w:afterAutospacing="0" w:line="440" w:lineRule="exact"/>
        <w:ind w:firstLine="420" w:firstLineChars="200"/>
        <w:jc w:val="left"/>
        <w:textAlignment w:val="baseline"/>
        <w:rPr>
          <w:rFonts w:hint="eastAsia" w:ascii="宋体" w:hAnsi="宋体" w:eastAsia="宋体" w:cs="宋体"/>
          <w:bCs/>
        </w:rPr>
      </w:pPr>
      <w:r>
        <w:rPr>
          <w:rFonts w:hint="eastAsia" w:ascii="宋体" w:hAnsi="宋体" w:eastAsia="宋体" w:cs="宋体"/>
          <w:bCs/>
        </w:rPr>
        <w:t>本合同经甲方、乙方法定代表人或其委托人签字并加盖</w:t>
      </w:r>
      <w:r>
        <w:rPr>
          <w:rFonts w:hint="eastAsia" w:ascii="宋体" w:hAnsi="宋体" w:eastAsia="宋体" w:cs="宋体"/>
          <w:bCs/>
          <w:lang w:eastAsia="zh-CN"/>
        </w:rPr>
        <w:t>双</w:t>
      </w:r>
      <w:r>
        <w:rPr>
          <w:rFonts w:hint="eastAsia" w:ascii="宋体" w:hAnsi="宋体" w:eastAsia="宋体" w:cs="宋体"/>
          <w:bCs/>
        </w:rPr>
        <w:t>方公章后生效。</w:t>
      </w:r>
    </w:p>
    <w:p w14:paraId="1859B082">
      <w:pPr>
        <w:pageBreakBefore w:val="0"/>
        <w:widowControl/>
        <w:shd w:val="clear" w:color="auto" w:fill="FFFFFF"/>
        <w:kinsoku/>
        <w:wordWrap w:val="0"/>
        <w:topLinePunct/>
        <w:bidi w:val="0"/>
        <w:adjustRightInd w:val="0"/>
        <w:spacing w:beforeAutospacing="0" w:afterAutospacing="0" w:line="440" w:lineRule="exact"/>
        <w:ind w:firstLine="420" w:firstLineChars="200"/>
        <w:jc w:val="left"/>
        <w:textAlignment w:val="baseline"/>
        <w:rPr>
          <w:rFonts w:hint="eastAsia" w:ascii="宋体" w:hAnsi="宋体" w:eastAsia="宋体" w:cs="宋体"/>
          <w:kern w:val="0"/>
          <w:highlight w:val="none"/>
        </w:rPr>
      </w:pPr>
      <w:r>
        <w:rPr>
          <w:rFonts w:hint="eastAsia" w:ascii="宋体" w:hAnsi="宋体" w:eastAsia="宋体" w:cs="宋体"/>
          <w:kern w:val="0"/>
          <w:highlight w:val="none"/>
        </w:rPr>
        <w:t>本合同壹式</w:t>
      </w:r>
      <w:r>
        <w:rPr>
          <w:rFonts w:hint="eastAsia" w:ascii="宋体" w:hAnsi="宋体" w:eastAsia="宋体" w:cs="宋体"/>
          <w:kern w:val="0"/>
          <w:highlight w:val="none"/>
          <w:lang w:eastAsia="zh-CN"/>
        </w:rPr>
        <w:t>肆</w:t>
      </w:r>
      <w:r>
        <w:rPr>
          <w:rFonts w:hint="eastAsia" w:ascii="宋体" w:hAnsi="宋体" w:eastAsia="宋体" w:cs="宋体"/>
          <w:kern w:val="0"/>
          <w:highlight w:val="none"/>
        </w:rPr>
        <w:t>份，甲乙双方各执贰份。</w:t>
      </w:r>
    </w:p>
    <w:p w14:paraId="36FE25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第十六条：适用法律</w:t>
      </w:r>
    </w:p>
    <w:p w14:paraId="613DB00E">
      <w:pPr>
        <w:keepNext w:val="0"/>
        <w:keepLines w:val="0"/>
        <w:pageBreakBefore w:val="0"/>
        <w:widowControl w:val="0"/>
        <w:kinsoku/>
        <w:wordWrap/>
        <w:overflowPunct/>
        <w:topLinePunct w:val="0"/>
        <w:bidi w:val="0"/>
        <w:adjustRightInd/>
        <w:spacing w:beforeAutospacing="0" w:afterAutospacing="0"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本合同按照中华人民共和国现行法律、法规进行解释。</w:t>
      </w:r>
    </w:p>
    <w:p w14:paraId="5F1212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第十七条：特别说明</w:t>
      </w:r>
    </w:p>
    <w:p w14:paraId="0665C77E">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并经甲方和相关部门事先书面同意外，乙方不得部分转让和分包或全部转让和分包其应履行的合同义务。</w:t>
      </w:r>
    </w:p>
    <w:p w14:paraId="77B3BA0A">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57E324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甲方及乙方在此承诺：</w:t>
      </w:r>
    </w:p>
    <w:p w14:paraId="6D3633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（1）在签署本合同之前详细阅读并理解本合同文本全文，且均在完全自愿与平等的法律地位基础上签署本合同。</w:t>
      </w:r>
    </w:p>
    <w:p w14:paraId="61B54B1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（2）承诺放弃以本合同系属于格式合同为由而提出不利于对方的合同条款的解释的相关主张权。</w:t>
      </w:r>
    </w:p>
    <w:p w14:paraId="6D1BAE9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（3）对同一条款含义存在不同解释时，应采用与招标文件及其目的最接近的解释。当本合同双方对同一条款含义存在不同解释时，应当以本合同版本发布者或质疑受理机构、投诉受理机构的解释为准。</w:t>
      </w:r>
    </w:p>
    <w:p w14:paraId="3E1FF0F0">
      <w:pPr>
        <w:pageBreakBefore w:val="0"/>
        <w:widowControl/>
        <w:kinsoku/>
        <w:overflowPunct w:val="0"/>
        <w:autoSpaceDE w:val="0"/>
        <w:autoSpaceDN w:val="0"/>
        <w:bidi w:val="0"/>
        <w:adjustRightInd w:val="0"/>
        <w:snapToGrid w:val="0"/>
        <w:spacing w:beforeAutospacing="0" w:afterAutospacing="0" w:line="440" w:lineRule="exact"/>
        <w:jc w:val="left"/>
        <w:textAlignment w:val="baseline"/>
        <w:rPr>
          <w:rFonts w:hint="eastAsia" w:ascii="宋体" w:hAnsi="宋体" w:eastAsia="宋体" w:cs="宋体"/>
          <w:b/>
          <w:bCs/>
          <w:kern w:val="0"/>
        </w:rPr>
      </w:pPr>
      <w:r>
        <w:rPr>
          <w:rFonts w:hint="eastAsia" w:ascii="宋体" w:hAnsi="宋体" w:eastAsia="宋体" w:cs="宋体"/>
          <w:b/>
          <w:bCs/>
          <w:kern w:val="0"/>
        </w:rPr>
        <w:t>甲方（公章）：                       乙方（公章）：</w:t>
      </w:r>
    </w:p>
    <w:p w14:paraId="22B3B9FF">
      <w:pPr>
        <w:pageBreakBefore w:val="0"/>
        <w:widowControl/>
        <w:kinsoku/>
        <w:overflowPunct w:val="0"/>
        <w:autoSpaceDE w:val="0"/>
        <w:autoSpaceDN w:val="0"/>
        <w:bidi w:val="0"/>
        <w:adjustRightInd w:val="0"/>
        <w:snapToGrid w:val="0"/>
        <w:spacing w:beforeAutospacing="0" w:afterAutospacing="0" w:line="440" w:lineRule="exact"/>
        <w:jc w:val="left"/>
        <w:textAlignment w:val="baseline"/>
        <w:rPr>
          <w:rFonts w:hint="eastAsia" w:ascii="宋体" w:hAnsi="宋体" w:eastAsia="宋体" w:cs="宋体"/>
          <w:kern w:val="0"/>
        </w:rPr>
      </w:pPr>
      <w:r>
        <w:rPr>
          <w:rFonts w:hint="eastAsia" w:ascii="宋体" w:hAnsi="宋体" w:eastAsia="宋体" w:cs="宋体"/>
          <w:kern w:val="0"/>
        </w:rPr>
        <w:t>法定代表人或受委托人（签字</w:t>
      </w:r>
      <w:r>
        <w:rPr>
          <w:rFonts w:hint="eastAsia" w:ascii="宋体" w:hAnsi="宋体" w:eastAsia="宋体" w:cs="宋体"/>
          <w:kern w:val="0"/>
          <w:lang w:val="en-US" w:eastAsia="zh-CN"/>
        </w:rPr>
        <w:t>或盖章</w:t>
      </w:r>
      <w:r>
        <w:rPr>
          <w:rFonts w:hint="eastAsia" w:ascii="宋体" w:hAnsi="宋体" w:eastAsia="宋体" w:cs="宋体"/>
          <w:kern w:val="0"/>
        </w:rPr>
        <w:t>）         法定代表人或受委托人（签字</w:t>
      </w:r>
      <w:r>
        <w:rPr>
          <w:rFonts w:hint="eastAsia" w:ascii="宋体" w:hAnsi="宋体" w:eastAsia="宋体" w:cs="宋体"/>
          <w:kern w:val="0"/>
          <w:lang w:val="en-US" w:eastAsia="zh-CN"/>
        </w:rPr>
        <w:t>或盖章</w:t>
      </w:r>
      <w:r>
        <w:rPr>
          <w:rFonts w:hint="eastAsia" w:ascii="宋体" w:hAnsi="宋体" w:eastAsia="宋体" w:cs="宋体"/>
          <w:kern w:val="0"/>
        </w:rPr>
        <w:t>）</w:t>
      </w:r>
    </w:p>
    <w:p w14:paraId="4129A573">
      <w:pPr>
        <w:pageBreakBefore w:val="0"/>
        <w:widowControl/>
        <w:kinsoku/>
        <w:overflowPunct w:val="0"/>
        <w:autoSpaceDE w:val="0"/>
        <w:autoSpaceDN w:val="0"/>
        <w:bidi w:val="0"/>
        <w:adjustRightInd w:val="0"/>
        <w:snapToGrid w:val="0"/>
        <w:spacing w:beforeAutospacing="0" w:afterAutospacing="0" w:line="440" w:lineRule="exact"/>
        <w:jc w:val="left"/>
        <w:textAlignment w:val="baseline"/>
        <w:rPr>
          <w:rFonts w:hint="eastAsia" w:ascii="宋体" w:hAnsi="宋体" w:eastAsia="宋体" w:cs="宋体"/>
          <w:kern w:val="0"/>
        </w:rPr>
      </w:pPr>
      <w:r>
        <w:rPr>
          <w:rFonts w:hint="eastAsia" w:ascii="宋体" w:hAnsi="宋体" w:eastAsia="宋体" w:cs="宋体"/>
          <w:kern w:val="0"/>
        </w:rPr>
        <w:t>地址：                               地址：</w:t>
      </w:r>
    </w:p>
    <w:p w14:paraId="71F83D2B">
      <w:pPr>
        <w:pageBreakBefore w:val="0"/>
        <w:widowControl/>
        <w:kinsoku/>
        <w:overflowPunct w:val="0"/>
        <w:autoSpaceDE w:val="0"/>
        <w:autoSpaceDN w:val="0"/>
        <w:bidi w:val="0"/>
        <w:adjustRightInd w:val="0"/>
        <w:snapToGrid w:val="0"/>
        <w:spacing w:beforeAutospacing="0" w:afterAutospacing="0" w:line="440" w:lineRule="exact"/>
        <w:ind w:left="2"/>
        <w:jc w:val="left"/>
        <w:textAlignment w:val="baseline"/>
        <w:rPr>
          <w:rFonts w:hint="eastAsia" w:ascii="宋体" w:hAnsi="宋体" w:eastAsia="宋体" w:cs="宋体"/>
          <w:kern w:val="0"/>
        </w:rPr>
      </w:pPr>
      <w:r>
        <w:rPr>
          <w:rFonts w:hint="eastAsia" w:ascii="宋体" w:hAnsi="宋体" w:eastAsia="宋体" w:cs="宋体"/>
          <w:kern w:val="0"/>
        </w:rPr>
        <w:t>电话：                               电话：</w:t>
      </w:r>
    </w:p>
    <w:p w14:paraId="27E3CF90">
      <w:pPr>
        <w:pageBreakBefore w:val="0"/>
        <w:widowControl/>
        <w:kinsoku/>
        <w:overflowPunct w:val="0"/>
        <w:autoSpaceDE w:val="0"/>
        <w:autoSpaceDN w:val="0"/>
        <w:bidi w:val="0"/>
        <w:adjustRightInd w:val="0"/>
        <w:snapToGrid w:val="0"/>
        <w:spacing w:beforeAutospacing="0" w:afterAutospacing="0" w:line="440" w:lineRule="exact"/>
        <w:ind w:left="-59" w:leftChars="-28" w:firstLine="3780" w:firstLineChars="1800"/>
        <w:jc w:val="left"/>
        <w:textAlignment w:val="baseline"/>
        <w:rPr>
          <w:rFonts w:hint="eastAsia" w:ascii="宋体" w:hAnsi="宋体" w:eastAsia="宋体" w:cs="宋体"/>
          <w:kern w:val="0"/>
        </w:rPr>
      </w:pPr>
    </w:p>
    <w:p w14:paraId="420E227F">
      <w:pPr>
        <w:pageBreakBefore w:val="0"/>
        <w:widowControl/>
        <w:kinsoku/>
        <w:overflowPunct w:val="0"/>
        <w:autoSpaceDE w:val="0"/>
        <w:autoSpaceDN w:val="0"/>
        <w:bidi w:val="0"/>
        <w:adjustRightInd w:val="0"/>
        <w:snapToGrid w:val="0"/>
        <w:spacing w:beforeAutospacing="0" w:afterAutospacing="0" w:line="440" w:lineRule="exact"/>
        <w:ind w:left="-59" w:leftChars="-28" w:firstLine="3780" w:firstLineChars="1800"/>
        <w:jc w:val="left"/>
        <w:textAlignment w:val="baseline"/>
        <w:rPr>
          <w:rFonts w:hint="eastAsia" w:ascii="宋体" w:hAnsi="宋体" w:eastAsia="宋体" w:cs="宋体"/>
          <w:kern w:val="0"/>
        </w:rPr>
      </w:pPr>
    </w:p>
    <w:p w14:paraId="0351C7FE">
      <w:pPr>
        <w:pageBreakBefore w:val="0"/>
        <w:widowControl/>
        <w:kinsoku/>
        <w:overflowPunct w:val="0"/>
        <w:autoSpaceDE w:val="0"/>
        <w:autoSpaceDN w:val="0"/>
        <w:bidi w:val="0"/>
        <w:adjustRightInd w:val="0"/>
        <w:snapToGrid w:val="0"/>
        <w:spacing w:beforeAutospacing="0" w:afterAutospacing="0" w:line="440" w:lineRule="exact"/>
        <w:ind w:left="-59" w:leftChars="-28" w:firstLine="3780" w:firstLineChars="1800"/>
        <w:jc w:val="left"/>
        <w:textAlignment w:val="baseline"/>
        <w:rPr>
          <w:rFonts w:hint="eastAsia" w:ascii="宋体" w:hAnsi="宋体" w:eastAsia="宋体" w:cs="宋体"/>
          <w:kern w:val="0"/>
        </w:rPr>
      </w:pPr>
      <w:r>
        <w:rPr>
          <w:rFonts w:hint="eastAsia" w:ascii="宋体" w:hAnsi="宋体" w:eastAsia="宋体" w:cs="宋体"/>
          <w:kern w:val="0"/>
        </w:rPr>
        <w:t>签约时间：    年  月  日</w:t>
      </w:r>
    </w:p>
    <w:p w14:paraId="365CDFA4">
      <w:pPr>
        <w:pageBreakBefore w:val="0"/>
        <w:widowControl/>
        <w:kinsoku/>
        <w:overflowPunct w:val="0"/>
        <w:autoSpaceDE w:val="0"/>
        <w:autoSpaceDN w:val="0"/>
        <w:bidi w:val="0"/>
        <w:adjustRightInd w:val="0"/>
        <w:snapToGrid w:val="0"/>
        <w:spacing w:beforeAutospacing="0" w:afterAutospacing="0" w:line="440" w:lineRule="exact"/>
        <w:ind w:left="-2" w:leftChars="-1"/>
        <w:jc w:val="left"/>
        <w:textAlignment w:val="baseline"/>
        <w:rPr>
          <w:rFonts w:hint="eastAsia" w:ascii="宋体" w:hAnsi="宋体" w:eastAsia="宋体" w:cs="宋体"/>
          <w:b/>
          <w:bCs/>
          <w:kern w:val="0"/>
        </w:rPr>
      </w:pPr>
      <w:r>
        <w:rPr>
          <w:rFonts w:hint="eastAsia" w:ascii="宋体" w:hAnsi="宋体" w:eastAsia="宋体" w:cs="宋体"/>
          <w:kern w:val="0"/>
        </w:rPr>
        <w:t xml:space="preserve">                                  　签约地点：</w:t>
      </w:r>
    </w:p>
    <w:p w14:paraId="78825B3D">
      <w:pPr>
        <w:pageBreakBefore w:val="0"/>
        <w:widowControl/>
        <w:kinsoku/>
        <w:overflowPunct w:val="0"/>
        <w:autoSpaceDE w:val="0"/>
        <w:autoSpaceDN w:val="0"/>
        <w:bidi w:val="0"/>
        <w:adjustRightInd w:val="0"/>
        <w:snapToGrid w:val="0"/>
        <w:spacing w:beforeAutospacing="0" w:afterAutospacing="0" w:line="440" w:lineRule="exact"/>
        <w:jc w:val="left"/>
        <w:textAlignment w:val="baseline"/>
        <w:rPr>
          <w:rFonts w:hint="eastAsia" w:ascii="宋体" w:hAnsi="宋体" w:eastAsia="宋体" w:cs="宋体"/>
          <w:b/>
          <w:kern w:val="0"/>
        </w:rPr>
        <w:sectPr>
          <w:headerReference r:id="rId6" w:type="default"/>
          <w:footerReference r:id="rId7" w:type="default"/>
          <w:pgSz w:w="11906" w:h="16838"/>
          <w:pgMar w:top="1417" w:right="1418" w:bottom="1417" w:left="1588" w:header="851" w:footer="992" w:gutter="0"/>
          <w:cols w:space="720" w:num="1"/>
          <w:docGrid w:type="lines" w:linePitch="312" w:charSpace="0"/>
        </w:sectPr>
      </w:pPr>
    </w:p>
    <w:p w14:paraId="4A8AC956">
      <w:pPr>
        <w:pStyle w:val="17"/>
        <w:ind w:left="5250"/>
      </w:pPr>
    </w:p>
    <w:p w14:paraId="64B7CB48">
      <w:pPr>
        <w:pStyle w:val="4"/>
      </w:pPr>
      <w:r>
        <w:t>第五章</w:t>
      </w:r>
      <w:r>
        <w:rPr>
          <w:rFonts w:hint="eastAsia"/>
        </w:rPr>
        <w:t xml:space="preserve"> </w:t>
      </w:r>
      <w:r>
        <w:t>响应文件格式</w:t>
      </w:r>
    </w:p>
    <w:bookmarkEnd w:id="23"/>
    <w:bookmarkEnd w:id="24"/>
    <w:bookmarkEnd w:id="25"/>
    <w:p w14:paraId="79FE78F2">
      <w:pPr>
        <w:pStyle w:val="3"/>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5"/>
        <w:ind w:firstLine="480"/>
        <w:rPr>
          <w:rFonts w:ascii="Times New Roman" w:hAnsi="Times New Roman" w:cs="Times New Roman"/>
        </w:rPr>
      </w:pPr>
      <w:bookmarkStart w:id="26" w:name="_Toc385596607"/>
      <w:bookmarkStart w:id="27" w:name="_Toc415814146"/>
      <w:bookmarkStart w:id="28" w:name="_Toc404172372"/>
      <w:bookmarkStart w:id="29" w:name="_Toc450199111"/>
      <w:bookmarkStart w:id="30" w:name="_Toc169"/>
      <w:bookmarkStart w:id="31" w:name="_Toc368993656"/>
      <w:bookmarkStart w:id="32" w:name="_Toc402432104"/>
      <w:bookmarkStart w:id="33" w:name="_Toc372127740"/>
      <w:bookmarkStart w:id="34" w:name="_Toc390342487"/>
      <w:bookmarkStart w:id="35" w:name="_Toc396290683"/>
      <w:r>
        <w:rPr>
          <w:rFonts w:ascii="Times New Roman" w:hAnsi="Times New Roman" w:cs="Times New Roman"/>
        </w:rPr>
        <w:t>一、磋商响应文件封面</w:t>
      </w:r>
      <w:bookmarkEnd w:id="26"/>
      <w:bookmarkEnd w:id="27"/>
      <w:bookmarkEnd w:id="28"/>
      <w:bookmarkEnd w:id="29"/>
      <w:bookmarkEnd w:id="30"/>
      <w:bookmarkEnd w:id="31"/>
      <w:bookmarkEnd w:id="32"/>
      <w:bookmarkEnd w:id="33"/>
      <w:bookmarkEnd w:id="34"/>
      <w:bookmarkEnd w:id="35"/>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5"/>
        <w:ind w:firstLine="480"/>
        <w:rPr>
          <w:rFonts w:ascii="Times New Roman" w:hAnsi="Times New Roman" w:cs="Times New Roman"/>
        </w:rPr>
      </w:pPr>
      <w:r>
        <w:rPr>
          <w:rFonts w:ascii="Times New Roman" w:hAnsi="Times New Roman" w:cs="Times New Roman"/>
        </w:rPr>
        <w:br w:type="page"/>
      </w:r>
      <w:bookmarkStart w:id="36" w:name="_Toc415814147"/>
      <w:bookmarkStart w:id="37" w:name="_Toc293401393"/>
      <w:bookmarkStart w:id="38" w:name="_Toc401423940"/>
      <w:bookmarkStart w:id="39" w:name="_Toc450199112"/>
      <w:bookmarkStart w:id="40" w:name="_Toc21615"/>
      <w:r>
        <w:rPr>
          <w:rFonts w:ascii="Times New Roman" w:hAnsi="Times New Roman" w:cs="Times New Roman"/>
        </w:rPr>
        <w:t>二、报价</w:t>
      </w:r>
      <w:bookmarkEnd w:id="36"/>
      <w:bookmarkEnd w:id="37"/>
      <w:bookmarkEnd w:id="38"/>
      <w:r>
        <w:rPr>
          <w:rFonts w:ascii="Times New Roman" w:hAnsi="Times New Roman" w:cs="Times New Roman"/>
        </w:rPr>
        <w:t>文件</w:t>
      </w:r>
      <w:bookmarkEnd w:id="39"/>
      <w:bookmarkEnd w:id="40"/>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6"/>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6"/>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6"/>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41" w:name="_Toc312928677"/>
      <w:bookmarkStart w:id="42" w:name="_Toc415814148"/>
      <w:bookmarkStart w:id="43" w:name="_Toc8574"/>
      <w:bookmarkStart w:id="44" w:name="_Toc293401394"/>
      <w:bookmarkStart w:id="45" w:name="_Toc450199113"/>
      <w:bookmarkStart w:id="46" w:name="_Toc401423941"/>
      <w:r>
        <w:rPr>
          <w:rFonts w:hint="eastAsia"/>
          <w:b/>
          <w:szCs w:val="21"/>
        </w:rPr>
        <w:t>2</w:t>
      </w:r>
      <w:r>
        <w:rPr>
          <w:b/>
          <w:szCs w:val="21"/>
        </w:rPr>
        <w:t>、</w:t>
      </w:r>
      <w:r>
        <w:rPr>
          <w:rFonts w:hint="eastAsia"/>
          <w:b/>
          <w:szCs w:val="21"/>
        </w:rPr>
        <w:t>投标分项报价表</w:t>
      </w:r>
      <w:r>
        <w:rPr>
          <w:b/>
          <w:szCs w:val="21"/>
        </w:rPr>
        <w:t>；</w:t>
      </w:r>
    </w:p>
    <w:p w14:paraId="766EE08B">
      <w:pPr>
        <w:spacing w:line="360" w:lineRule="auto"/>
        <w:ind w:left="2"/>
        <w:jc w:val="center"/>
        <w:rPr>
          <w:rFonts w:hint="eastAsia"/>
          <w:b/>
          <w:sz w:val="32"/>
        </w:rPr>
      </w:pPr>
      <w:r>
        <w:rPr>
          <w:rFonts w:hint="eastAsia"/>
          <w:b/>
          <w:sz w:val="32"/>
        </w:rPr>
        <w:t>报价</w:t>
      </w:r>
      <w:r>
        <w:rPr>
          <w:rFonts w:hint="eastAsia"/>
          <w:b/>
          <w:sz w:val="32"/>
          <w:lang w:val="en-US" w:eastAsia="zh-CN"/>
        </w:rPr>
        <w:t>明细</w:t>
      </w:r>
      <w:r>
        <w:rPr>
          <w:rFonts w:hint="eastAsia"/>
          <w:b/>
          <w:sz w:val="32"/>
        </w:rPr>
        <w:t>表</w:t>
      </w:r>
    </w:p>
    <w:tbl>
      <w:tblPr>
        <w:tblStyle w:val="31"/>
        <w:tblW w:w="58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066"/>
        <w:gridCol w:w="3557"/>
        <w:gridCol w:w="518"/>
        <w:gridCol w:w="679"/>
        <w:gridCol w:w="1112"/>
        <w:gridCol w:w="1186"/>
        <w:gridCol w:w="1172"/>
      </w:tblGrid>
      <w:tr w14:paraId="7D11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93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仿宋_GB2312" w:cs="宋体"/>
                <w:b/>
                <w:bCs/>
                <w:i w:val="0"/>
                <w:iCs w:val="0"/>
                <w:color w:val="000000"/>
                <w:sz w:val="20"/>
                <w:szCs w:val="20"/>
                <w:u w:val="none"/>
                <w:lang w:val="en-US" w:eastAsia="zh-CN"/>
              </w:rPr>
            </w:pPr>
            <w:r>
              <w:rPr>
                <w:rFonts w:hint="eastAsia" w:ascii="仿宋_GB2312" w:hAnsi="仿宋_GB2312" w:eastAsia="仿宋_GB2312" w:cs="仿宋_GB2312"/>
                <w:sz w:val="24"/>
                <w:szCs w:val="24"/>
                <w:lang w:val="en-US" w:eastAsia="zh-CN"/>
              </w:rPr>
              <w:t>江北院区污水站整体托管管理服务项目清单报价</w:t>
            </w:r>
          </w:p>
        </w:tc>
      </w:tr>
      <w:tr w14:paraId="2053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7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2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类型名称</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A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B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2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2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9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总价（元）</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F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2C9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C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826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设施设备维护</w:t>
            </w:r>
          </w:p>
        </w:tc>
      </w:tr>
      <w:tr w14:paraId="0174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00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23D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设备材料</w:t>
            </w:r>
          </w:p>
        </w:tc>
        <w:tc>
          <w:tcPr>
            <w:tcW w:w="1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BF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设备（污水提升泵、罗茨鼓风机、机械格栅、消毒设备、电控设备、流量计等）、废气处理设备（UV光解设备、除臭风机、喷淋泵、喷淋塔等）设备常规保养、故障维修等；紫外灯管、皮带、润滑油等损耗品定期更换；制度上墙、材料等</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F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C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32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2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E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整体保修(若设备无法修复需院方另行购置，提供换新报价)。</w:t>
            </w:r>
          </w:p>
        </w:tc>
      </w:tr>
      <w:tr w14:paraId="6A32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E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F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人员值班</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5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全年值班（含节假日）7:00~17:00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E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4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8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D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B9E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r>
      <w:tr w14:paraId="1113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80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0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79F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b/>
                <w:bCs/>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7F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FD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A2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D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D49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b/>
                <w:bCs/>
                <w:i w:val="0"/>
                <w:iCs w:val="0"/>
                <w:color w:val="000000"/>
                <w:sz w:val="20"/>
                <w:szCs w:val="20"/>
                <w:u w:val="none"/>
              </w:rPr>
            </w:pPr>
          </w:p>
        </w:tc>
      </w:tr>
      <w:tr w14:paraId="5724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9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247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b/>
                <w:bCs/>
                <w:i w:val="0"/>
                <w:iCs w:val="0"/>
                <w:color w:val="000000"/>
                <w:kern w:val="0"/>
                <w:sz w:val="20"/>
                <w:szCs w:val="20"/>
                <w:u w:val="none"/>
                <w:lang w:val="en-US" w:eastAsia="zh-CN" w:bidi="ar"/>
              </w:rPr>
              <w:t>排污指标检测</w:t>
            </w:r>
          </w:p>
        </w:tc>
      </w:tr>
      <w:tr w14:paraId="4E7C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B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9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第三方检测</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指标及次数包括：pH（手工记录：2次/天；每季度1次第三方监测）、总余氯、氨氮、COD、SS、粪大肠菌群、BOD5、石油类、挥发酚、动植物油、阴离子表面活性剂、总氰化物、沙门氏菌；志贺氏菌（满足环保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2、检测指标及次数包括：氨、硫化氢、臭气浓度，1次/季度（满足环保要求）</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5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8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D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C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6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详见排污指标检测清单</w:t>
            </w:r>
          </w:p>
        </w:tc>
      </w:tr>
      <w:tr w14:paraId="5F15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9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3CCC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b/>
                <w:bCs/>
                <w:i w:val="0"/>
                <w:iCs w:val="0"/>
                <w:color w:val="000000"/>
                <w:kern w:val="0"/>
                <w:sz w:val="20"/>
                <w:szCs w:val="20"/>
                <w:u w:val="none"/>
                <w:lang w:val="en-US" w:eastAsia="zh-CN" w:bidi="ar"/>
              </w:rPr>
              <w:t>药剂供应</w:t>
            </w:r>
          </w:p>
        </w:tc>
      </w:tr>
      <w:tr w14:paraId="7CD3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99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349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10%次氯酸钠药剂</w:t>
            </w:r>
          </w:p>
        </w:tc>
        <w:tc>
          <w:tcPr>
            <w:tcW w:w="1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B4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10%次氯酸钠药剂采购、运输、储存、使用等相关服务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药剂费用（暂估医院年用水量8万吨计算，以单价乘以用水量结算药剂费用）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150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A2C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F9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D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2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预估次氯酸钠年使用量30吨左右</w:t>
            </w:r>
          </w:p>
        </w:tc>
      </w:tr>
      <w:tr w14:paraId="0285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F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4654"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C57E8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b/>
                <w:bCs/>
                <w:i w:val="0"/>
                <w:iCs w:val="0"/>
                <w:color w:val="000000"/>
                <w:kern w:val="0"/>
                <w:sz w:val="20"/>
                <w:szCs w:val="20"/>
                <w:u w:val="none"/>
                <w:lang w:val="en-US" w:eastAsia="zh-CN" w:bidi="ar"/>
              </w:rPr>
              <w:t>污染源在线监测维保</w:t>
            </w:r>
          </w:p>
        </w:tc>
      </w:tr>
      <w:tr w14:paraId="5060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F8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3A9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药剂耗材</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1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COD在线检测仪试剂，重铬酸钾、浓硫酸等，自动检测，12次/天</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78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EF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85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EC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C19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1B9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D5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695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14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氨氮在线检测仪试剂，纳氏试剂等，自动检测，12次/天</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989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76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BD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82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02C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B7C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04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F53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2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纯水，自动检测，12次/天</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03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D2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11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89B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213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52C2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9A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328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质控校准</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8D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74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3F9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30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7B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2E9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D51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E0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48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C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DE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F53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15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2A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838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4D77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96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195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33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0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64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3D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E4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508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FFE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C7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5AE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27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总氯在线检测仪质控、校准标液，1次/周</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8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8DF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96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FC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1EB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922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2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10F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三方比对</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D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指标COD、氨氮、pH比对测试，1次/月</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5D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60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24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93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621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606F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9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9F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设备（含易耗品）</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pH电极、电路板、采样管、消解管、阀门、蠕动泵、蠕动泵管、水泵</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FC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A6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41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B66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5EAB">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r>
      <w:tr w14:paraId="7DEF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D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30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环保专网</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1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环保专网</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06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CF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C8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C3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E7C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2AC1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E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40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应急响应</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7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配合环保局主管部门、业主相关工作，超标规范作业，按1次/月计</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31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EF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27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4B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71B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55D5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7B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2B3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9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在线维保人员专职、1名，维护、保养等</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6D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2BD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C3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35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8E1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780C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1C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BF8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5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交通费，车辆使用、油费、停车费等</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A4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0F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AE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D0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DA6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r>
      <w:tr w14:paraId="386C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498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E524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4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管理费培训、督查、资料费、税费等</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07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F6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F5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DB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CCA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r>
      <w:tr w14:paraId="747F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6E4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D5A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865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5B1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353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1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D94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r w14:paraId="36C5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904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5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14B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C73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B7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008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B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546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u w:val="none"/>
              </w:rPr>
            </w:pPr>
          </w:p>
        </w:tc>
      </w:tr>
    </w:tbl>
    <w:p w14:paraId="3BA8A15A">
      <w:pPr>
        <w:pStyle w:val="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注：1.本表格式投标报价应包括服务期内的总费用，包括但不仅限于运维费、药剂费、人工费、验收、备品备件、耗材，1000元以下的配件费，税费等项目实施完成所需的一切费用。</w:t>
      </w:r>
    </w:p>
    <w:p w14:paraId="736B2A7D">
      <w:pPr>
        <w:pStyle w:val="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2.投标人可根据单位实际发生，自行增加栏目。</w:t>
      </w:r>
    </w:p>
    <w:p w14:paraId="00B552A8">
      <w:pPr>
        <w:pStyle w:val="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3.投标报价明细表若为多页的，每页均需由投标人授权代表签字并加盖投标人公章。</w:t>
      </w:r>
    </w:p>
    <w:p w14:paraId="6A057713">
      <w:pPr>
        <w:pStyle w:val="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4.若不提供投标报价明细的，则作无效标处理。</w:t>
      </w:r>
    </w:p>
    <w:p w14:paraId="0F9F000E">
      <w:pPr>
        <w:pStyle w:val="3"/>
        <w:rPr>
          <w:rFonts w:hint="eastAsia" w:ascii="宋体" w:hAnsi="宋体" w:eastAsia="宋体" w:cs="宋体"/>
        </w:rPr>
      </w:pPr>
      <w:r>
        <w:rPr>
          <w:rFonts w:hint="eastAsia" w:ascii="宋体" w:hAnsi="宋体" w:eastAsia="宋体" w:cs="宋体"/>
          <w:kern w:val="2"/>
          <w:sz w:val="24"/>
          <w:szCs w:val="24"/>
          <w:lang w:val="en-US" w:eastAsia="zh-CN" w:bidi="ar-SA"/>
        </w:rPr>
        <w:t>5.投标报价明细表应列支包括所需缴纳的所有税费、项目实施所需的一切费用等。</w:t>
      </w:r>
    </w:p>
    <w:p w14:paraId="289AB0FB">
      <w:pPr>
        <w:spacing w:line="360" w:lineRule="auto"/>
        <w:ind w:left="2"/>
        <w:jc w:val="both"/>
        <w:rPr>
          <w:rFonts w:hint="eastAsia"/>
          <w:b/>
          <w:sz w:val="32"/>
          <w:lang w:val="en-US" w:eastAsia="zh-CN"/>
        </w:rPr>
      </w:pPr>
    </w:p>
    <w:p w14:paraId="3E25216C">
      <w:pPr>
        <w:spacing w:line="360" w:lineRule="auto"/>
        <w:ind w:left="2"/>
        <w:jc w:val="center"/>
        <w:rPr>
          <w:rFonts w:hint="eastAsia"/>
          <w:b/>
          <w:sz w:val="32"/>
          <w:lang w:val="en-US" w:eastAsia="zh-CN"/>
        </w:rPr>
      </w:pPr>
    </w:p>
    <w:p w14:paraId="3FB9FB18">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5"/>
        <w:ind w:firstLine="480"/>
        <w:rPr>
          <w:lang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6"/>
      </w:pPr>
    </w:p>
    <w:bookmarkEnd w:id="41"/>
    <w:bookmarkEnd w:id="42"/>
    <w:bookmarkEnd w:id="43"/>
    <w:bookmarkEnd w:id="44"/>
    <w:bookmarkEnd w:id="45"/>
    <w:bookmarkEnd w:id="46"/>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3"/>
        <w:ind w:firstLine="0" w:firstLineChars="0"/>
        <w:rPr>
          <w:rFonts w:hAnsi="Times New Roman"/>
          <w:sz w:val="24"/>
          <w:szCs w:val="24"/>
        </w:rPr>
      </w:pPr>
      <w:r>
        <w:rPr>
          <w:rFonts w:hAnsi="Times New Roman"/>
          <w:sz w:val="24"/>
          <w:szCs w:val="24"/>
        </w:rPr>
        <w:t>1、磋商响应函；</w:t>
      </w:r>
    </w:p>
    <w:p w14:paraId="308461CC">
      <w:pPr>
        <w:pStyle w:val="3"/>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3"/>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3"/>
        <w:ind w:firstLine="0" w:firstLineChars="0"/>
        <w:rPr>
          <w:rFonts w:hAnsi="Times New Roman"/>
          <w:sz w:val="24"/>
          <w:szCs w:val="24"/>
        </w:rPr>
      </w:pPr>
      <w:r>
        <w:rPr>
          <w:rFonts w:hAnsi="Times New Roman"/>
          <w:sz w:val="24"/>
          <w:szCs w:val="24"/>
        </w:rPr>
        <w:t>3、以下资格证明材料</w:t>
      </w:r>
    </w:p>
    <w:p w14:paraId="3114A8AA">
      <w:pPr>
        <w:pStyle w:val="3"/>
        <w:ind w:firstLine="424" w:firstLineChars="177"/>
        <w:rPr>
          <w:rFonts w:hAnsi="Times New Roman"/>
          <w:sz w:val="24"/>
          <w:szCs w:val="24"/>
        </w:rPr>
      </w:pPr>
      <w:r>
        <w:rPr>
          <w:rFonts w:hAnsi="Times New Roman"/>
          <w:sz w:val="24"/>
          <w:szCs w:val="24"/>
        </w:rPr>
        <w:t>1）符合供应商资格要求的相关证明材料；</w:t>
      </w:r>
    </w:p>
    <w:p w14:paraId="00974665">
      <w:pPr>
        <w:pStyle w:val="3"/>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3"/>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3"/>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3"/>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3"/>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3"/>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3"/>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3"/>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3"/>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3"/>
        <w:ind w:firstLine="0" w:firstLineChars="0"/>
        <w:rPr>
          <w:rFonts w:hAnsi="Times New Roman"/>
          <w:sz w:val="24"/>
          <w:szCs w:val="24"/>
        </w:rPr>
      </w:pPr>
      <w:r>
        <w:rPr>
          <w:rFonts w:hint="eastAsia" w:hAnsi="Times New Roman"/>
          <w:sz w:val="24"/>
          <w:szCs w:val="24"/>
        </w:rPr>
        <w:t>4、</w:t>
      </w:r>
      <w:r>
        <w:rPr>
          <w:rFonts w:hint="eastAsia" w:hAnsi="Times New Roman"/>
          <w:sz w:val="24"/>
          <w:szCs w:val="24"/>
          <w:lang w:val="en-US" w:eastAsia="zh-CN"/>
        </w:rPr>
        <w:t>资质证书</w:t>
      </w:r>
      <w:r>
        <w:rPr>
          <w:rFonts w:hint="eastAsia" w:hAnsi="Times New Roman"/>
          <w:sz w:val="24"/>
          <w:szCs w:val="24"/>
        </w:rPr>
        <w:t>；</w:t>
      </w:r>
    </w:p>
    <w:p w14:paraId="6CCB517B">
      <w:pPr>
        <w:pStyle w:val="3"/>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体系证书</w:t>
      </w:r>
      <w:r>
        <w:rPr>
          <w:rFonts w:hint="eastAsia" w:hAnsi="Times New Roman"/>
          <w:sz w:val="24"/>
          <w:szCs w:val="24"/>
        </w:rPr>
        <w:t>；</w:t>
      </w:r>
    </w:p>
    <w:p w14:paraId="4F01C149">
      <w:pPr>
        <w:pStyle w:val="3"/>
        <w:ind w:firstLine="0" w:firstLineChars="0"/>
        <w:rPr>
          <w:rFonts w:hAnsi="Times New Roman"/>
          <w:sz w:val="24"/>
          <w:szCs w:val="24"/>
        </w:rPr>
      </w:pPr>
      <w:r>
        <w:rPr>
          <w:rFonts w:hint="eastAsia" w:hAnsi="Times New Roman"/>
          <w:sz w:val="24"/>
          <w:szCs w:val="24"/>
        </w:rPr>
        <w:t>6、</w:t>
      </w:r>
      <w:r>
        <w:rPr>
          <w:rFonts w:hint="eastAsia" w:hAnsi="Times New Roman"/>
          <w:sz w:val="24"/>
          <w:szCs w:val="24"/>
          <w:lang w:val="en-US" w:eastAsia="zh-CN"/>
        </w:rPr>
        <w:t>业绩</w:t>
      </w:r>
      <w:r>
        <w:rPr>
          <w:rFonts w:hint="eastAsia" w:hAnsi="Times New Roman"/>
          <w:sz w:val="24"/>
          <w:szCs w:val="24"/>
        </w:rPr>
        <w:t>；</w:t>
      </w:r>
    </w:p>
    <w:p w14:paraId="35780C42">
      <w:pPr>
        <w:pStyle w:val="3"/>
        <w:ind w:firstLine="0" w:firstLineChars="0"/>
        <w:rPr>
          <w:rFonts w:hint="eastAsia"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理解能力；</w:t>
      </w:r>
    </w:p>
    <w:p w14:paraId="1160F30D">
      <w:pPr>
        <w:pStyle w:val="3"/>
        <w:ind w:firstLine="0" w:firstLineChars="0"/>
        <w:rPr>
          <w:rFonts w:hAnsi="Times New Roman"/>
          <w:sz w:val="24"/>
          <w:szCs w:val="24"/>
        </w:rPr>
      </w:pPr>
      <w:r>
        <w:rPr>
          <w:rFonts w:hint="eastAsia" w:hAnsi="Times New Roman"/>
          <w:sz w:val="24"/>
          <w:szCs w:val="24"/>
          <w:lang w:val="en-US" w:eastAsia="zh-CN"/>
        </w:rPr>
        <w:t>8、维保方案</w:t>
      </w:r>
      <w:r>
        <w:rPr>
          <w:rFonts w:hint="eastAsia" w:hAnsi="Times New Roman"/>
          <w:sz w:val="24"/>
          <w:szCs w:val="24"/>
        </w:rPr>
        <w:t>；</w:t>
      </w:r>
    </w:p>
    <w:p w14:paraId="4F58F1EB">
      <w:pPr>
        <w:pStyle w:val="3"/>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w:t>
      </w:r>
      <w:r>
        <w:rPr>
          <w:rFonts w:hint="eastAsia" w:hAnsi="Times New Roman"/>
          <w:sz w:val="24"/>
          <w:szCs w:val="24"/>
          <w:lang w:val="en-US" w:eastAsia="zh-CN"/>
        </w:rPr>
        <w:t>质量卫生指标</w:t>
      </w:r>
      <w:r>
        <w:rPr>
          <w:rFonts w:hint="eastAsia" w:hAnsi="Times New Roman"/>
          <w:sz w:val="24"/>
          <w:szCs w:val="24"/>
        </w:rPr>
        <w:t>；</w:t>
      </w:r>
    </w:p>
    <w:p w14:paraId="55D5EBF5">
      <w:pPr>
        <w:pStyle w:val="3"/>
        <w:ind w:firstLine="0" w:firstLineChars="0"/>
        <w:rPr>
          <w:rFonts w:hint="eastAsia" w:hAnsi="Times New Roman"/>
          <w:sz w:val="24"/>
          <w:szCs w:val="24"/>
          <w:lang w:val="en-US" w:eastAsia="zh-CN"/>
        </w:rPr>
      </w:pPr>
      <w:r>
        <w:rPr>
          <w:rFonts w:hint="eastAsia" w:hAnsi="Times New Roman"/>
          <w:sz w:val="24"/>
          <w:szCs w:val="24"/>
          <w:lang w:val="en-US" w:eastAsia="zh-CN"/>
        </w:rPr>
        <w:t>10、重难点及保证措施；</w:t>
      </w:r>
    </w:p>
    <w:p w14:paraId="2A486295">
      <w:pPr>
        <w:pStyle w:val="3"/>
        <w:ind w:firstLine="0" w:firstLineChars="0"/>
        <w:rPr>
          <w:rFonts w:hint="eastAsia" w:hAnsi="Times New Roman"/>
          <w:sz w:val="24"/>
          <w:szCs w:val="24"/>
          <w:lang w:val="en-US" w:eastAsia="zh-CN"/>
        </w:rPr>
      </w:pPr>
      <w:r>
        <w:rPr>
          <w:rFonts w:hint="eastAsia" w:hAnsi="Times New Roman"/>
          <w:sz w:val="24"/>
          <w:szCs w:val="24"/>
          <w:lang w:val="en-US" w:eastAsia="zh-CN"/>
        </w:rPr>
        <w:t>11、应急预案；</w:t>
      </w:r>
    </w:p>
    <w:p w14:paraId="3F1C2624">
      <w:pPr>
        <w:pStyle w:val="3"/>
        <w:ind w:firstLine="0" w:firstLineChars="0"/>
        <w:rPr>
          <w:rFonts w:hint="eastAsia" w:hAnsi="Times New Roman"/>
          <w:sz w:val="24"/>
          <w:szCs w:val="24"/>
          <w:lang w:val="en-US" w:eastAsia="zh-CN"/>
        </w:rPr>
      </w:pPr>
      <w:r>
        <w:rPr>
          <w:rFonts w:hint="eastAsia" w:hAnsi="Times New Roman"/>
          <w:sz w:val="24"/>
          <w:szCs w:val="24"/>
          <w:lang w:val="en-US" w:eastAsia="zh-CN"/>
        </w:rPr>
        <w:t>12、项目团队；</w:t>
      </w:r>
    </w:p>
    <w:p w14:paraId="3D9504C4">
      <w:pPr>
        <w:pStyle w:val="3"/>
        <w:ind w:firstLine="0" w:firstLineChars="0"/>
        <w:rPr>
          <w:rFonts w:hint="eastAsia" w:hAnsi="Times New Roman"/>
          <w:sz w:val="24"/>
          <w:szCs w:val="24"/>
          <w:lang w:val="en-US" w:eastAsia="zh-CN"/>
        </w:rPr>
      </w:pPr>
      <w:r>
        <w:rPr>
          <w:rFonts w:hint="eastAsia" w:hAnsi="Times New Roman"/>
          <w:sz w:val="24"/>
          <w:szCs w:val="24"/>
          <w:lang w:val="en-US" w:eastAsia="zh-CN"/>
        </w:rPr>
        <w:t>13、机械设备配置；</w:t>
      </w:r>
    </w:p>
    <w:p w14:paraId="04F13A86">
      <w:pPr>
        <w:pStyle w:val="3"/>
        <w:ind w:firstLine="0" w:firstLineChars="0"/>
        <w:rPr>
          <w:rFonts w:hint="eastAsia" w:hAnsi="Times New Roman"/>
          <w:sz w:val="24"/>
          <w:szCs w:val="24"/>
          <w:lang w:val="en-US" w:eastAsia="zh-CN"/>
        </w:rPr>
      </w:pPr>
      <w:r>
        <w:rPr>
          <w:rFonts w:hint="eastAsia" w:hAnsi="Times New Roman"/>
          <w:sz w:val="24"/>
          <w:szCs w:val="24"/>
          <w:lang w:val="en-US" w:eastAsia="zh-CN"/>
        </w:rPr>
        <w:t>14、工作单；</w:t>
      </w:r>
    </w:p>
    <w:p w14:paraId="7E761101">
      <w:pPr>
        <w:pStyle w:val="3"/>
        <w:ind w:firstLine="0" w:firstLineChars="0"/>
        <w:rPr>
          <w:rFonts w:hint="eastAsia" w:hAnsi="Times New Roman"/>
          <w:sz w:val="24"/>
          <w:szCs w:val="24"/>
          <w:lang w:val="en-US" w:eastAsia="zh-CN"/>
        </w:rPr>
      </w:pPr>
      <w:r>
        <w:rPr>
          <w:rFonts w:hint="eastAsia" w:hAnsi="Times New Roman"/>
          <w:sz w:val="24"/>
          <w:szCs w:val="24"/>
          <w:lang w:val="en-US" w:eastAsia="zh-CN"/>
        </w:rPr>
        <w:t>15、第三方检测方案；</w:t>
      </w:r>
    </w:p>
    <w:p w14:paraId="64D88AEA">
      <w:pPr>
        <w:pStyle w:val="3"/>
        <w:ind w:firstLine="0" w:firstLineChars="0"/>
        <w:rPr>
          <w:rFonts w:hint="eastAsia" w:hAnsi="Times New Roman"/>
          <w:sz w:val="24"/>
          <w:szCs w:val="24"/>
          <w:lang w:val="en-US" w:eastAsia="zh-CN"/>
        </w:rPr>
      </w:pPr>
      <w:r>
        <w:rPr>
          <w:rFonts w:hint="eastAsia" w:hAnsi="Times New Roman"/>
          <w:sz w:val="24"/>
          <w:szCs w:val="24"/>
          <w:lang w:val="en-US" w:eastAsia="zh-CN"/>
        </w:rPr>
        <w:t>16、消毒药剂的供应；</w:t>
      </w:r>
    </w:p>
    <w:p w14:paraId="33CA0792">
      <w:pPr>
        <w:pStyle w:val="3"/>
        <w:ind w:firstLine="0" w:firstLineChars="0"/>
        <w:rPr>
          <w:rFonts w:hint="eastAsia" w:hAnsi="Times New Roman"/>
          <w:sz w:val="24"/>
          <w:szCs w:val="24"/>
          <w:lang w:val="en-US" w:eastAsia="zh-CN"/>
        </w:rPr>
      </w:pPr>
      <w:r>
        <w:rPr>
          <w:rFonts w:hint="eastAsia" w:hAnsi="Times New Roman"/>
          <w:sz w:val="24"/>
          <w:szCs w:val="24"/>
          <w:lang w:val="en-US" w:eastAsia="zh-CN"/>
        </w:rPr>
        <w:t>17、备品备件；</w:t>
      </w:r>
    </w:p>
    <w:p w14:paraId="37A50497">
      <w:pPr>
        <w:pStyle w:val="3"/>
        <w:ind w:firstLine="0" w:firstLineChars="0"/>
        <w:rPr>
          <w:rFonts w:hint="eastAsia" w:hAnsi="Times New Roman"/>
          <w:sz w:val="24"/>
          <w:szCs w:val="24"/>
          <w:lang w:val="en-US" w:eastAsia="zh-CN"/>
        </w:rPr>
      </w:pPr>
      <w:r>
        <w:rPr>
          <w:rFonts w:hint="eastAsia" w:hAnsi="Times New Roman"/>
          <w:sz w:val="24"/>
          <w:szCs w:val="24"/>
          <w:lang w:val="en-US" w:eastAsia="zh-CN"/>
        </w:rPr>
        <w:t>18、售后服务；</w:t>
      </w:r>
    </w:p>
    <w:p w14:paraId="60D52D12">
      <w:pPr>
        <w:pStyle w:val="3"/>
        <w:ind w:firstLine="0" w:firstLineChars="0"/>
        <w:rPr>
          <w:rFonts w:hint="default" w:hAnsi="Times New Roman"/>
          <w:sz w:val="24"/>
          <w:szCs w:val="24"/>
          <w:lang w:val="en-US" w:eastAsia="zh-CN"/>
        </w:rPr>
      </w:pPr>
      <w:r>
        <w:rPr>
          <w:rFonts w:hint="eastAsia" w:hAnsi="Times New Roman"/>
          <w:sz w:val="24"/>
          <w:szCs w:val="24"/>
          <w:lang w:val="en-US" w:eastAsia="zh-CN"/>
        </w:rPr>
        <w:t>19、合理化建议。</w:t>
      </w:r>
    </w:p>
    <w:p w14:paraId="7FB286C2">
      <w:pPr>
        <w:pStyle w:val="23"/>
      </w:pPr>
    </w:p>
    <w:p w14:paraId="0C98BEE3">
      <w:pPr>
        <w:pStyle w:val="3"/>
        <w:ind w:firstLine="0" w:firstLineChars="0"/>
        <w:rPr>
          <w:rFonts w:hAnsi="Times New Roman"/>
          <w:color w:val="auto"/>
        </w:rPr>
      </w:pPr>
    </w:p>
    <w:p w14:paraId="7EE8C087">
      <w:pPr>
        <w:pStyle w:val="3"/>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6"/>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6"/>
        <w:adjustRightInd w:val="0"/>
        <w:snapToGrid w:val="0"/>
        <w:spacing w:line="300" w:lineRule="auto"/>
        <w:ind w:firstLine="470" w:firstLineChars="196"/>
        <w:rPr>
          <w:rFonts w:ascii="Times New Roman" w:hAnsi="Times New Roman"/>
          <w:sz w:val="24"/>
          <w:szCs w:val="24"/>
        </w:rPr>
      </w:pPr>
    </w:p>
    <w:p w14:paraId="02F0AA1D">
      <w:pPr>
        <w:pStyle w:val="16"/>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6"/>
        <w:adjustRightInd w:val="0"/>
        <w:snapToGrid w:val="0"/>
        <w:spacing w:line="300" w:lineRule="auto"/>
        <w:ind w:firstLine="480"/>
        <w:rPr>
          <w:rFonts w:ascii="Times New Roman" w:hAnsi="Times New Roman"/>
          <w:sz w:val="24"/>
          <w:szCs w:val="24"/>
        </w:rPr>
      </w:pPr>
    </w:p>
    <w:p w14:paraId="58599271">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7"/>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7"/>
        <w:numPr>
          <w:ilvl w:val="0"/>
          <w:numId w:val="9"/>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7"/>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7"/>
        <w:numPr>
          <w:ilvl w:val="0"/>
          <w:numId w:val="10"/>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7"/>
        <w:numPr>
          <w:ilvl w:val="0"/>
          <w:numId w:val="10"/>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7"/>
        <w:numPr>
          <w:ilvl w:val="0"/>
          <w:numId w:val="10"/>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7"/>
        <w:numPr>
          <w:ilvl w:val="0"/>
          <w:numId w:val="10"/>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7"/>
        <w:numPr>
          <w:ilvl w:val="0"/>
          <w:numId w:val="10"/>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7"/>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7"/>
        <w:numPr>
          <w:ilvl w:val="0"/>
          <w:numId w:val="9"/>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7"/>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7"/>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7"/>
        <w:spacing w:before="0" w:beforeAutospacing="0" w:after="0" w:afterAutospacing="0" w:line="480" w:lineRule="auto"/>
        <w:ind w:firstLine="960" w:firstLineChars="400"/>
        <w:rPr>
          <w:rFonts w:ascii="Times New Roman" w:hAnsi="Times New Roman"/>
          <w:szCs w:val="24"/>
        </w:rPr>
      </w:pPr>
    </w:p>
    <w:p w14:paraId="267A7B51">
      <w:pPr>
        <w:pStyle w:val="27"/>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7"/>
        <w:numPr>
          <w:ilvl w:val="0"/>
          <w:numId w:val="11"/>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7"/>
        <w:numPr>
          <w:ilvl w:val="0"/>
          <w:numId w:val="11"/>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7"/>
        <w:numPr>
          <w:ilvl w:val="0"/>
          <w:numId w:val="11"/>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7"/>
        <w:numPr>
          <w:ilvl w:val="0"/>
          <w:numId w:val="11"/>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7"/>
        <w:spacing w:before="0" w:beforeAutospacing="0" w:after="0" w:afterAutospacing="0" w:line="480" w:lineRule="auto"/>
        <w:ind w:firstLine="480" w:firstLineChars="200"/>
        <w:rPr>
          <w:rFonts w:ascii="Times New Roman" w:hAnsi="Times New Roman"/>
          <w:szCs w:val="24"/>
        </w:rPr>
      </w:pPr>
    </w:p>
    <w:p w14:paraId="55FA66AE">
      <w:pPr>
        <w:pStyle w:val="27"/>
        <w:spacing w:before="0" w:beforeAutospacing="0" w:after="0" w:afterAutospacing="0" w:line="480" w:lineRule="auto"/>
        <w:ind w:firstLine="482" w:firstLineChars="200"/>
        <w:rPr>
          <w:rFonts w:ascii="Times New Roman" w:hAnsi="Times New Roman"/>
          <w:b/>
          <w:bCs/>
          <w:szCs w:val="24"/>
        </w:rPr>
      </w:pPr>
    </w:p>
    <w:p w14:paraId="0241FAFB">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3"/>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3"/>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3"/>
      </w:pPr>
    </w:p>
    <w:p w14:paraId="2C818EE7">
      <w:pPr>
        <w:widowControl/>
        <w:jc w:val="left"/>
      </w:pPr>
      <w:r>
        <w:br w:type="page"/>
      </w:r>
    </w:p>
    <w:p w14:paraId="106EEF89">
      <w:pPr>
        <w:pStyle w:val="3"/>
        <w:ind w:firstLine="0" w:firstLineChars="0"/>
        <w:rPr>
          <w:rFonts w:hAnsi="Times New Roman"/>
          <w:b/>
          <w:bCs/>
          <w:sz w:val="24"/>
          <w:szCs w:val="24"/>
        </w:rPr>
      </w:pPr>
      <w:r>
        <w:rPr>
          <w:rFonts w:hint="eastAsia" w:hAnsi="Times New Roman"/>
          <w:b/>
          <w:bCs/>
          <w:sz w:val="24"/>
          <w:szCs w:val="24"/>
        </w:rPr>
        <w:t>4、</w:t>
      </w:r>
      <w:r>
        <w:rPr>
          <w:rFonts w:hint="eastAsia" w:hAnsi="Times New Roman"/>
          <w:b/>
          <w:bCs/>
          <w:sz w:val="24"/>
          <w:szCs w:val="24"/>
          <w:lang w:val="en-US" w:eastAsia="zh-CN"/>
        </w:rPr>
        <w:t>资质证书</w:t>
      </w:r>
      <w:r>
        <w:rPr>
          <w:rFonts w:hint="eastAsia" w:hAnsi="Times New Roman"/>
          <w:b/>
          <w:bCs/>
          <w:sz w:val="24"/>
          <w:szCs w:val="24"/>
        </w:rPr>
        <w:t>；</w:t>
      </w:r>
    </w:p>
    <w:p w14:paraId="47AEBFD1">
      <w:pPr>
        <w:pStyle w:val="3"/>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体系证书</w:t>
      </w:r>
      <w:r>
        <w:rPr>
          <w:rFonts w:hint="eastAsia" w:hAnsi="Times New Roman"/>
          <w:b/>
          <w:bCs/>
          <w:sz w:val="24"/>
          <w:szCs w:val="24"/>
        </w:rPr>
        <w:t>；</w:t>
      </w:r>
    </w:p>
    <w:p w14:paraId="21BC426D">
      <w:pPr>
        <w:pStyle w:val="3"/>
        <w:ind w:firstLine="0" w:firstLineChars="0"/>
        <w:rPr>
          <w:rFonts w:hAnsi="Times New Roman"/>
          <w:b/>
          <w:bCs/>
          <w:sz w:val="24"/>
          <w:szCs w:val="24"/>
        </w:rPr>
      </w:pPr>
      <w:r>
        <w:rPr>
          <w:rFonts w:hint="eastAsia" w:hAnsi="Times New Roman"/>
          <w:b/>
          <w:bCs/>
          <w:sz w:val="24"/>
          <w:szCs w:val="24"/>
        </w:rPr>
        <w:t>6、</w:t>
      </w:r>
      <w:r>
        <w:rPr>
          <w:rFonts w:hint="eastAsia" w:hAnsi="Times New Roman"/>
          <w:b/>
          <w:bCs/>
          <w:sz w:val="24"/>
          <w:szCs w:val="24"/>
          <w:lang w:val="en-US" w:eastAsia="zh-CN"/>
        </w:rPr>
        <w:t>业绩</w:t>
      </w:r>
      <w:r>
        <w:rPr>
          <w:rFonts w:hint="eastAsia" w:hAnsi="Times New Roman"/>
          <w:b/>
          <w:bCs/>
          <w:sz w:val="24"/>
          <w:szCs w:val="24"/>
        </w:rPr>
        <w:t>；</w:t>
      </w:r>
    </w:p>
    <w:p w14:paraId="2BDE0BF9">
      <w:pPr>
        <w:pStyle w:val="3"/>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理解能力；</w:t>
      </w:r>
    </w:p>
    <w:p w14:paraId="4DBCA4DD">
      <w:pPr>
        <w:pStyle w:val="3"/>
        <w:ind w:firstLine="0" w:firstLineChars="0"/>
        <w:rPr>
          <w:rFonts w:hAnsi="Times New Roman"/>
          <w:b/>
          <w:bCs/>
          <w:sz w:val="24"/>
          <w:szCs w:val="24"/>
        </w:rPr>
      </w:pPr>
      <w:r>
        <w:rPr>
          <w:rFonts w:hint="eastAsia" w:hAnsi="Times New Roman"/>
          <w:b/>
          <w:bCs/>
          <w:sz w:val="24"/>
          <w:szCs w:val="24"/>
          <w:lang w:val="en-US" w:eastAsia="zh-CN"/>
        </w:rPr>
        <w:t>8、维保方案</w:t>
      </w:r>
      <w:r>
        <w:rPr>
          <w:rFonts w:hint="eastAsia" w:hAnsi="Times New Roman"/>
          <w:b/>
          <w:bCs/>
          <w:sz w:val="24"/>
          <w:szCs w:val="24"/>
        </w:rPr>
        <w:t>；</w:t>
      </w:r>
    </w:p>
    <w:p w14:paraId="18C395A6">
      <w:pPr>
        <w:pStyle w:val="3"/>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w:t>
      </w:r>
      <w:r>
        <w:rPr>
          <w:rFonts w:hint="eastAsia" w:hAnsi="Times New Roman"/>
          <w:b/>
          <w:bCs/>
          <w:sz w:val="24"/>
          <w:szCs w:val="24"/>
          <w:lang w:val="en-US" w:eastAsia="zh-CN"/>
        </w:rPr>
        <w:t>质量卫生指标</w:t>
      </w:r>
      <w:r>
        <w:rPr>
          <w:rFonts w:hint="eastAsia" w:hAnsi="Times New Roman"/>
          <w:b/>
          <w:bCs/>
          <w:sz w:val="24"/>
          <w:szCs w:val="24"/>
        </w:rPr>
        <w:t>；</w:t>
      </w:r>
    </w:p>
    <w:p w14:paraId="7E8DB881">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10、重难点及保证措施；</w:t>
      </w:r>
    </w:p>
    <w:p w14:paraId="2B2EF6CC">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11、应急预案；</w:t>
      </w:r>
    </w:p>
    <w:p w14:paraId="351E1E3A">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12、项目团队；</w:t>
      </w:r>
    </w:p>
    <w:p w14:paraId="66DC6814">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13、机械设备配置；</w:t>
      </w:r>
    </w:p>
    <w:p w14:paraId="13B16186">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14、工作单；</w:t>
      </w:r>
    </w:p>
    <w:p w14:paraId="79A6A6AE">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15、第三方检测方案；</w:t>
      </w:r>
    </w:p>
    <w:p w14:paraId="4EB0AD8C">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16、消毒药剂的供应；</w:t>
      </w:r>
    </w:p>
    <w:p w14:paraId="025BC755">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17、备品备件；</w:t>
      </w:r>
    </w:p>
    <w:p w14:paraId="51013348">
      <w:pPr>
        <w:pStyle w:val="3"/>
        <w:ind w:firstLine="0" w:firstLineChars="0"/>
        <w:rPr>
          <w:rFonts w:hint="eastAsia" w:hAnsi="Times New Roman"/>
          <w:b/>
          <w:bCs/>
          <w:sz w:val="24"/>
          <w:szCs w:val="24"/>
          <w:lang w:val="en-US" w:eastAsia="zh-CN"/>
        </w:rPr>
      </w:pPr>
      <w:r>
        <w:rPr>
          <w:rFonts w:hint="eastAsia" w:hAnsi="Times New Roman"/>
          <w:b/>
          <w:bCs/>
          <w:sz w:val="24"/>
          <w:szCs w:val="24"/>
          <w:lang w:val="en-US" w:eastAsia="zh-CN"/>
        </w:rPr>
        <w:t>18、售后服务；</w:t>
      </w:r>
    </w:p>
    <w:p w14:paraId="1EBD4BA5">
      <w:pPr>
        <w:pStyle w:val="3"/>
        <w:ind w:firstLine="0" w:firstLineChars="0"/>
        <w:rPr>
          <w:rFonts w:hint="default" w:hAnsi="Times New Roman"/>
          <w:b/>
          <w:bCs/>
          <w:sz w:val="24"/>
          <w:szCs w:val="24"/>
          <w:lang w:val="en-US" w:eastAsia="zh-CN"/>
        </w:rPr>
      </w:pPr>
      <w:r>
        <w:rPr>
          <w:rFonts w:hint="eastAsia" w:hAnsi="Times New Roman"/>
          <w:b/>
          <w:bCs/>
          <w:sz w:val="24"/>
          <w:szCs w:val="24"/>
          <w:lang w:val="en-US" w:eastAsia="zh-CN"/>
        </w:rPr>
        <w:t>19、合理化建议。</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int="eastAsia" w:hAnsi="Times New Roman"/>
          <w:b/>
          <w:bCs/>
          <w:lang w:val="en-US" w:eastAsia="zh-CN"/>
        </w:rPr>
        <w:t>20</w:t>
      </w:r>
      <w:r>
        <w:rPr>
          <w:rFonts w:hAnsi="Times New Roman"/>
          <w:b/>
          <w:bCs/>
        </w:rPr>
        <w:t>、声明函</w:t>
      </w:r>
    </w:p>
    <w:p w14:paraId="5414FE23">
      <w:pPr>
        <w:pStyle w:val="16"/>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rFonts w:hint="eastAsia"/>
          <w:b/>
          <w:bCs/>
          <w:sz w:val="24"/>
          <w:szCs w:val="22"/>
          <w:lang w:val="en-US" w:eastAsia="zh-CN"/>
        </w:rPr>
        <w:t>21</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4" w:type="default"/>
      <w:footerReference r:id="rId15" w:type="default"/>
      <w:footerReference r:id="rId16"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4463">
    <w:pPr>
      <w:pStyle w:val="20"/>
      <w:rPr>
        <w:rStyle w:val="36"/>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ABFDEF3">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7ABFDEF3">
                    <w:pPr>
                      <w:snapToGrid w:val="0"/>
                      <w:rPr>
                        <w:sz w:val="18"/>
                      </w:rPr>
                    </w:pPr>
                  </w:p>
                </w:txbxContent>
              </v:textbox>
            </v:shape>
          </w:pict>
        </mc:Fallback>
      </mc:AlternateContent>
    </w:r>
  </w:p>
  <w:p w14:paraId="3C26693F">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27D6">
    <w:pPr>
      <w:pStyle w:val="20"/>
      <w:framePr w:wrap="around" w:vAnchor="text" w:hAnchor="margin" w:xAlign="center" w:y="1"/>
      <w:rPr>
        <w:rStyle w:val="36"/>
      </w:rPr>
    </w:pPr>
    <w:r>
      <w:fldChar w:fldCharType="begin"/>
    </w:r>
    <w:r>
      <w:rPr>
        <w:rStyle w:val="36"/>
      </w:rPr>
      <w:instrText xml:space="preserve">PAGE  </w:instrText>
    </w:r>
    <w:r>
      <w:fldChar w:fldCharType="end"/>
    </w:r>
  </w:p>
  <w:p w14:paraId="07C0B5E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214A8">
    <w:pPr>
      <w:pStyle w:val="20"/>
      <w:spacing w:before="12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40</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0"/>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0"/>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0"/>
      <w:framePr w:wrap="around" w:vAnchor="text" w:hAnchor="margin" w:xAlign="center" w:y="1"/>
      <w:rPr>
        <w:rStyle w:val="36"/>
      </w:rPr>
    </w:pPr>
    <w:r>
      <w:fldChar w:fldCharType="begin"/>
    </w:r>
    <w:r>
      <w:rPr>
        <w:rStyle w:val="36"/>
      </w:rPr>
      <w:instrText xml:space="preserve">PAGE  </w:instrText>
    </w:r>
    <w:r>
      <w:fldChar w:fldCharType="end"/>
    </w:r>
  </w:p>
  <w:p w14:paraId="798D8BFA">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4B42">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CBA3">
    <w:pPr>
      <w:pStyle w:val="21"/>
      <w:pBdr>
        <w:bottom w:val="none" w:color="auto" w:sz="0" w:space="0"/>
      </w:pBd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1"/>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16BA"/>
    <w:multiLevelType w:val="singleLevel"/>
    <w:tmpl w:val="8AC316BA"/>
    <w:lvl w:ilvl="0" w:tentative="0">
      <w:start w:val="1"/>
      <w:numFmt w:val="decimal"/>
      <w:lvlText w:val="%1."/>
      <w:lvlJc w:val="left"/>
      <w:pPr>
        <w:ind w:left="425" w:hanging="425"/>
      </w:pPr>
      <w:rPr>
        <w:rFonts w:hint="default"/>
      </w:rPr>
    </w:lvl>
  </w:abstractNum>
  <w:abstractNum w:abstractNumId="1">
    <w:nsid w:val="8E63AEDD"/>
    <w:multiLevelType w:val="singleLevel"/>
    <w:tmpl w:val="8E63AEDD"/>
    <w:lvl w:ilvl="0" w:tentative="0">
      <w:start w:val="1"/>
      <w:numFmt w:val="decimal"/>
      <w:lvlText w:val="%1."/>
      <w:lvlJc w:val="left"/>
      <w:pPr>
        <w:ind w:left="425" w:hanging="425"/>
      </w:pPr>
      <w:rPr>
        <w:rFonts w:hint="default"/>
      </w:rPr>
    </w:lvl>
  </w:abstractNum>
  <w:abstractNum w:abstractNumId="2">
    <w:nsid w:val="CBC0DC41"/>
    <w:multiLevelType w:val="singleLevel"/>
    <w:tmpl w:val="CBC0DC41"/>
    <w:lvl w:ilvl="0" w:tentative="0">
      <w:start w:val="1"/>
      <w:numFmt w:val="decimal"/>
      <w:lvlText w:val="%1."/>
      <w:lvlJc w:val="left"/>
      <w:pPr>
        <w:tabs>
          <w:tab w:val="left" w:pos="312"/>
        </w:tabs>
      </w:pPr>
    </w:lvl>
  </w:abstractNum>
  <w:abstractNum w:abstractNumId="3">
    <w:nsid w:val="D052218D"/>
    <w:multiLevelType w:val="singleLevel"/>
    <w:tmpl w:val="D052218D"/>
    <w:lvl w:ilvl="0" w:tentative="0">
      <w:start w:val="1"/>
      <w:numFmt w:val="decimal"/>
      <w:lvlText w:val="%1."/>
      <w:lvlJc w:val="left"/>
      <w:pPr>
        <w:ind w:left="425" w:hanging="425"/>
      </w:pPr>
      <w:rPr>
        <w:rFonts w:hint="default"/>
      </w:rPr>
    </w:lvl>
  </w:abstractNum>
  <w:abstractNum w:abstractNumId="4">
    <w:nsid w:val="DA749441"/>
    <w:multiLevelType w:val="singleLevel"/>
    <w:tmpl w:val="DA749441"/>
    <w:lvl w:ilvl="0" w:tentative="0">
      <w:start w:val="1"/>
      <w:numFmt w:val="decimal"/>
      <w:lvlText w:val="%1."/>
      <w:lvlJc w:val="left"/>
      <w:pPr>
        <w:ind w:left="425" w:hanging="425"/>
      </w:pPr>
      <w:rPr>
        <w:rFonts w:hint="default"/>
      </w:rPr>
    </w:lvl>
  </w:abstractNum>
  <w:abstractNum w:abstractNumId="5">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6">
    <w:nsid w:val="FD8902AC"/>
    <w:multiLevelType w:val="singleLevel"/>
    <w:tmpl w:val="FD8902AC"/>
    <w:lvl w:ilvl="0" w:tentative="0">
      <w:start w:val="1"/>
      <w:numFmt w:val="lowerLetter"/>
      <w:lvlText w:val="%1."/>
      <w:lvlJc w:val="left"/>
      <w:pPr>
        <w:ind w:left="425" w:hanging="425"/>
      </w:pPr>
      <w:rPr>
        <w:rFonts w:hint="default"/>
      </w:rPr>
    </w:lvl>
  </w:abstractNum>
  <w:abstractNum w:abstractNumId="7">
    <w:nsid w:val="069A03DF"/>
    <w:multiLevelType w:val="singleLevel"/>
    <w:tmpl w:val="069A03DF"/>
    <w:lvl w:ilvl="0" w:tentative="0">
      <w:start w:val="1"/>
      <w:numFmt w:val="decimal"/>
      <w:lvlText w:val="%1."/>
      <w:lvlJc w:val="left"/>
      <w:pPr>
        <w:ind w:left="425" w:hanging="425"/>
      </w:pPr>
      <w:rPr>
        <w:rFonts w:hint="default"/>
      </w:rPr>
    </w:lvl>
  </w:abstractNum>
  <w:abstractNum w:abstractNumId="8">
    <w:nsid w:val="4A450E61"/>
    <w:multiLevelType w:val="singleLevel"/>
    <w:tmpl w:val="4A450E61"/>
    <w:lvl w:ilvl="0" w:tentative="0">
      <w:start w:val="1"/>
      <w:numFmt w:val="decimal"/>
      <w:lvlText w:val="%1."/>
      <w:lvlJc w:val="left"/>
      <w:pPr>
        <w:ind w:left="425" w:hanging="425"/>
      </w:pPr>
      <w:rPr>
        <w:rFonts w:hint="default"/>
      </w:rPr>
    </w:lvl>
  </w:abstractNum>
  <w:abstractNum w:abstractNumId="9">
    <w:nsid w:val="6C1608D0"/>
    <w:multiLevelType w:val="singleLevel"/>
    <w:tmpl w:val="6C1608D0"/>
    <w:lvl w:ilvl="0" w:tentative="0">
      <w:start w:val="1"/>
      <w:numFmt w:val="decimal"/>
      <w:lvlText w:val="%1."/>
      <w:lvlJc w:val="left"/>
      <w:pPr>
        <w:ind w:left="425" w:hanging="425"/>
      </w:pPr>
      <w:rPr>
        <w:rFonts w:hint="default"/>
      </w:rPr>
    </w:lvl>
  </w:abstractNum>
  <w:abstractNum w:abstractNumId="10">
    <w:nsid w:val="7A0F2AD4"/>
    <w:multiLevelType w:val="singleLevel"/>
    <w:tmpl w:val="7A0F2AD4"/>
    <w:lvl w:ilvl="0" w:tentative="0">
      <w:start w:val="6"/>
      <w:numFmt w:val="chineseCounting"/>
      <w:suff w:val="nothing"/>
      <w:lvlText w:val="%1、"/>
      <w:lvlJc w:val="left"/>
      <w:rPr>
        <w:rFonts w:hint="eastAsia"/>
      </w:rPr>
    </w:lvl>
  </w:abstractNum>
  <w:num w:numId="1">
    <w:abstractNumId w:val="10"/>
  </w:num>
  <w:num w:numId="2">
    <w:abstractNumId w:val="7"/>
  </w:num>
  <w:num w:numId="3">
    <w:abstractNumId w:val="9"/>
  </w:num>
  <w:num w:numId="4">
    <w:abstractNumId w:val="1"/>
  </w:num>
  <w:num w:numId="5">
    <w:abstractNumId w:val="4"/>
  </w:num>
  <w:num w:numId="6">
    <w:abstractNumId w:val="8"/>
  </w:num>
  <w:num w:numId="7">
    <w:abstractNumId w:val="0"/>
  </w:num>
  <w:num w:numId="8">
    <w:abstractNumId w:val="3"/>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601"/>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3D53D87"/>
    <w:rsid w:val="04387860"/>
    <w:rsid w:val="04723083"/>
    <w:rsid w:val="04880273"/>
    <w:rsid w:val="04C87066"/>
    <w:rsid w:val="04DA09B0"/>
    <w:rsid w:val="05850883"/>
    <w:rsid w:val="05AF4C72"/>
    <w:rsid w:val="05D5727E"/>
    <w:rsid w:val="06187C8D"/>
    <w:rsid w:val="068F69D2"/>
    <w:rsid w:val="06D60FB6"/>
    <w:rsid w:val="078C04BA"/>
    <w:rsid w:val="07EB75E9"/>
    <w:rsid w:val="08493809"/>
    <w:rsid w:val="085965F5"/>
    <w:rsid w:val="08F71E5D"/>
    <w:rsid w:val="0904681F"/>
    <w:rsid w:val="099224C2"/>
    <w:rsid w:val="0A931C4A"/>
    <w:rsid w:val="0B2473D6"/>
    <w:rsid w:val="0B4C2257"/>
    <w:rsid w:val="0C2E6932"/>
    <w:rsid w:val="0D20764D"/>
    <w:rsid w:val="0D6E3A97"/>
    <w:rsid w:val="0D8D05A5"/>
    <w:rsid w:val="0DA130B6"/>
    <w:rsid w:val="0DE44888"/>
    <w:rsid w:val="0E0A1667"/>
    <w:rsid w:val="0E6010CF"/>
    <w:rsid w:val="0F0F739C"/>
    <w:rsid w:val="0F611659"/>
    <w:rsid w:val="0FCA6DEB"/>
    <w:rsid w:val="10655CF3"/>
    <w:rsid w:val="11185323"/>
    <w:rsid w:val="11D70154"/>
    <w:rsid w:val="12160F3D"/>
    <w:rsid w:val="124F3295"/>
    <w:rsid w:val="126307C1"/>
    <w:rsid w:val="12942E23"/>
    <w:rsid w:val="13165211"/>
    <w:rsid w:val="1343479E"/>
    <w:rsid w:val="149C34F4"/>
    <w:rsid w:val="14C66E85"/>
    <w:rsid w:val="14E804E4"/>
    <w:rsid w:val="16A17D2C"/>
    <w:rsid w:val="179B5CE4"/>
    <w:rsid w:val="17F32EFF"/>
    <w:rsid w:val="18A95CD8"/>
    <w:rsid w:val="18E67DA0"/>
    <w:rsid w:val="19BC01A3"/>
    <w:rsid w:val="19CC0BF8"/>
    <w:rsid w:val="1A9C7638"/>
    <w:rsid w:val="1BE42050"/>
    <w:rsid w:val="1C4466EF"/>
    <w:rsid w:val="1C656C23"/>
    <w:rsid w:val="1CE0094F"/>
    <w:rsid w:val="1D9C79B2"/>
    <w:rsid w:val="1E846C1E"/>
    <w:rsid w:val="1EE559BD"/>
    <w:rsid w:val="1FB06AC5"/>
    <w:rsid w:val="200B71FC"/>
    <w:rsid w:val="202B3AD6"/>
    <w:rsid w:val="20C71BDB"/>
    <w:rsid w:val="20D81670"/>
    <w:rsid w:val="20FB700A"/>
    <w:rsid w:val="21704E18"/>
    <w:rsid w:val="21BD09EA"/>
    <w:rsid w:val="23395957"/>
    <w:rsid w:val="23BC040C"/>
    <w:rsid w:val="242A2409"/>
    <w:rsid w:val="248064B3"/>
    <w:rsid w:val="249E2CA0"/>
    <w:rsid w:val="252637D8"/>
    <w:rsid w:val="25B85387"/>
    <w:rsid w:val="260D30FD"/>
    <w:rsid w:val="269F2BB8"/>
    <w:rsid w:val="27056576"/>
    <w:rsid w:val="270A5318"/>
    <w:rsid w:val="272A5083"/>
    <w:rsid w:val="272E0D8A"/>
    <w:rsid w:val="27355263"/>
    <w:rsid w:val="27C24AC7"/>
    <w:rsid w:val="2828115F"/>
    <w:rsid w:val="28B641E7"/>
    <w:rsid w:val="28D10507"/>
    <w:rsid w:val="29086F52"/>
    <w:rsid w:val="299F2D1F"/>
    <w:rsid w:val="29E14AC1"/>
    <w:rsid w:val="2A1B4B34"/>
    <w:rsid w:val="2A8B5D65"/>
    <w:rsid w:val="2AA0764D"/>
    <w:rsid w:val="2ACF7D27"/>
    <w:rsid w:val="2B6110AC"/>
    <w:rsid w:val="2CAB6572"/>
    <w:rsid w:val="2CDE209F"/>
    <w:rsid w:val="2D17784C"/>
    <w:rsid w:val="2D32663F"/>
    <w:rsid w:val="2D4B28DF"/>
    <w:rsid w:val="2DC51887"/>
    <w:rsid w:val="2F0033F9"/>
    <w:rsid w:val="2F8D4468"/>
    <w:rsid w:val="2FB34C91"/>
    <w:rsid w:val="30240B3A"/>
    <w:rsid w:val="306B115D"/>
    <w:rsid w:val="30CD568D"/>
    <w:rsid w:val="31350C4C"/>
    <w:rsid w:val="317560A1"/>
    <w:rsid w:val="3192385D"/>
    <w:rsid w:val="3390240D"/>
    <w:rsid w:val="343B4F6F"/>
    <w:rsid w:val="34AA7FA1"/>
    <w:rsid w:val="35281E46"/>
    <w:rsid w:val="36CF347B"/>
    <w:rsid w:val="3732784F"/>
    <w:rsid w:val="37843695"/>
    <w:rsid w:val="38774730"/>
    <w:rsid w:val="38AC7189"/>
    <w:rsid w:val="38C27DC4"/>
    <w:rsid w:val="3A8F51E8"/>
    <w:rsid w:val="3A936A6C"/>
    <w:rsid w:val="3A9C052D"/>
    <w:rsid w:val="3AEE1E1D"/>
    <w:rsid w:val="3BC5739B"/>
    <w:rsid w:val="3BC7095A"/>
    <w:rsid w:val="3C1A6F98"/>
    <w:rsid w:val="3C8F388E"/>
    <w:rsid w:val="3CCD435D"/>
    <w:rsid w:val="3D502835"/>
    <w:rsid w:val="3DE06960"/>
    <w:rsid w:val="3DEC5F8A"/>
    <w:rsid w:val="3E995C74"/>
    <w:rsid w:val="40573012"/>
    <w:rsid w:val="405930EC"/>
    <w:rsid w:val="40DB4E75"/>
    <w:rsid w:val="40E61AB1"/>
    <w:rsid w:val="41D50910"/>
    <w:rsid w:val="42CF43AB"/>
    <w:rsid w:val="43741014"/>
    <w:rsid w:val="4376003C"/>
    <w:rsid w:val="443F7874"/>
    <w:rsid w:val="45426912"/>
    <w:rsid w:val="45670346"/>
    <w:rsid w:val="456A1EF4"/>
    <w:rsid w:val="45C92BAC"/>
    <w:rsid w:val="462331D3"/>
    <w:rsid w:val="47337546"/>
    <w:rsid w:val="478E5BF3"/>
    <w:rsid w:val="47993F84"/>
    <w:rsid w:val="47AA594C"/>
    <w:rsid w:val="47D01EDF"/>
    <w:rsid w:val="47E56601"/>
    <w:rsid w:val="48C67A99"/>
    <w:rsid w:val="48DF77FA"/>
    <w:rsid w:val="4961356F"/>
    <w:rsid w:val="49A91C74"/>
    <w:rsid w:val="4B51061C"/>
    <w:rsid w:val="4B6169AE"/>
    <w:rsid w:val="4C5414AB"/>
    <w:rsid w:val="4CD94BF4"/>
    <w:rsid w:val="4D0258E3"/>
    <w:rsid w:val="4D3E5D38"/>
    <w:rsid w:val="4D7160D6"/>
    <w:rsid w:val="4DA954F8"/>
    <w:rsid w:val="4DB33889"/>
    <w:rsid w:val="4DCC232E"/>
    <w:rsid w:val="4ED55C4C"/>
    <w:rsid w:val="4FE52FC3"/>
    <w:rsid w:val="5060696B"/>
    <w:rsid w:val="515A37B0"/>
    <w:rsid w:val="517F3421"/>
    <w:rsid w:val="52125032"/>
    <w:rsid w:val="52BF2FD2"/>
    <w:rsid w:val="53F01145"/>
    <w:rsid w:val="540558D8"/>
    <w:rsid w:val="546E2A45"/>
    <w:rsid w:val="548A2962"/>
    <w:rsid w:val="552532C3"/>
    <w:rsid w:val="568B2843"/>
    <w:rsid w:val="56A3023E"/>
    <w:rsid w:val="573E3DB0"/>
    <w:rsid w:val="582A2AD1"/>
    <w:rsid w:val="58480007"/>
    <w:rsid w:val="5863030F"/>
    <w:rsid w:val="58D32CA1"/>
    <w:rsid w:val="59CF1242"/>
    <w:rsid w:val="5B2122DC"/>
    <w:rsid w:val="5BA7046C"/>
    <w:rsid w:val="5C051E79"/>
    <w:rsid w:val="5C2F7D76"/>
    <w:rsid w:val="5C48577C"/>
    <w:rsid w:val="5CA72F21"/>
    <w:rsid w:val="5D230C5E"/>
    <w:rsid w:val="5DE23965"/>
    <w:rsid w:val="5DF04B2E"/>
    <w:rsid w:val="5E4F07F4"/>
    <w:rsid w:val="5E75045B"/>
    <w:rsid w:val="5EDA6F6D"/>
    <w:rsid w:val="5F16255F"/>
    <w:rsid w:val="601C2B39"/>
    <w:rsid w:val="60793981"/>
    <w:rsid w:val="60A125B7"/>
    <w:rsid w:val="60A461B6"/>
    <w:rsid w:val="60E12272"/>
    <w:rsid w:val="60E23AE9"/>
    <w:rsid w:val="61026ABD"/>
    <w:rsid w:val="61145496"/>
    <w:rsid w:val="614960E5"/>
    <w:rsid w:val="62C74FF8"/>
    <w:rsid w:val="63E17D6C"/>
    <w:rsid w:val="640430BC"/>
    <w:rsid w:val="640C0830"/>
    <w:rsid w:val="644E4B1D"/>
    <w:rsid w:val="654E3675"/>
    <w:rsid w:val="667873C1"/>
    <w:rsid w:val="67456D79"/>
    <w:rsid w:val="67BA5260"/>
    <w:rsid w:val="67E950BB"/>
    <w:rsid w:val="68064081"/>
    <w:rsid w:val="6812769E"/>
    <w:rsid w:val="683948AD"/>
    <w:rsid w:val="685427BA"/>
    <w:rsid w:val="687F5BE1"/>
    <w:rsid w:val="69753495"/>
    <w:rsid w:val="69F8234A"/>
    <w:rsid w:val="6A116D0D"/>
    <w:rsid w:val="6A120191"/>
    <w:rsid w:val="6A9F6BF0"/>
    <w:rsid w:val="6BCD50F2"/>
    <w:rsid w:val="6C6945F1"/>
    <w:rsid w:val="6C6C10EA"/>
    <w:rsid w:val="6CF1659A"/>
    <w:rsid w:val="6D1B4B1E"/>
    <w:rsid w:val="6DB17ECF"/>
    <w:rsid w:val="6DED1766"/>
    <w:rsid w:val="6DF46045"/>
    <w:rsid w:val="6E0F357D"/>
    <w:rsid w:val="6E1E62BB"/>
    <w:rsid w:val="6E5F5FF7"/>
    <w:rsid w:val="6F323001"/>
    <w:rsid w:val="6F4B2F52"/>
    <w:rsid w:val="6FCA1077"/>
    <w:rsid w:val="70C14964"/>
    <w:rsid w:val="72565E22"/>
    <w:rsid w:val="72CE3325"/>
    <w:rsid w:val="735F2454"/>
    <w:rsid w:val="73A77042"/>
    <w:rsid w:val="73E50120"/>
    <w:rsid w:val="74C0081A"/>
    <w:rsid w:val="75137DDD"/>
    <w:rsid w:val="751500ED"/>
    <w:rsid w:val="756C780D"/>
    <w:rsid w:val="769E7DAB"/>
    <w:rsid w:val="77DD57DA"/>
    <w:rsid w:val="785173F2"/>
    <w:rsid w:val="78913A5E"/>
    <w:rsid w:val="78B51753"/>
    <w:rsid w:val="78E363FD"/>
    <w:rsid w:val="79352EE7"/>
    <w:rsid w:val="79EB0973"/>
    <w:rsid w:val="7A090428"/>
    <w:rsid w:val="7A734BE8"/>
    <w:rsid w:val="7C376D58"/>
    <w:rsid w:val="7C586356"/>
    <w:rsid w:val="7CA97E8C"/>
    <w:rsid w:val="7D00550F"/>
    <w:rsid w:val="7D1D5C9D"/>
    <w:rsid w:val="7D5052A6"/>
    <w:rsid w:val="7DC75C09"/>
    <w:rsid w:val="7E765088"/>
    <w:rsid w:val="7E923D2B"/>
    <w:rsid w:val="7EE221B9"/>
    <w:rsid w:val="7F3F2447"/>
    <w:rsid w:val="7F5F5692"/>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2"/>
    <w:autoRedefine/>
    <w:qFormat/>
    <w:uiPriority w:val="9"/>
    <w:pPr>
      <w:outlineLvl w:val="2"/>
    </w:pPr>
  </w:style>
  <w:style w:type="paragraph" w:styleId="7">
    <w:name w:val="heading 4"/>
    <w:basedOn w:val="1"/>
    <w:next w:val="8"/>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7"/>
    <w:autoRedefine/>
    <w:qFormat/>
    <w:uiPriority w:val="0"/>
    <w:pPr>
      <w:spacing w:after="120"/>
    </w:pPr>
  </w:style>
  <w:style w:type="paragraph" w:styleId="3">
    <w:name w:val="Body Text First Indent"/>
    <w:basedOn w:val="1"/>
    <w:next w:val="1"/>
    <w:link w:val="127"/>
    <w:autoRedefine/>
    <w:qFormat/>
    <w:uiPriority w:val="99"/>
    <w:pPr>
      <w:spacing w:line="360" w:lineRule="auto"/>
      <w:ind w:firstLine="420" w:firstLineChars="200"/>
    </w:pPr>
    <w:rPr>
      <w:rFonts w:hAnsi="宋体"/>
      <w:color w:val="000000"/>
      <w:szCs w:val="21"/>
    </w:rPr>
  </w:style>
  <w:style w:type="paragraph" w:styleId="8">
    <w:name w:val="Normal Indent"/>
    <w:basedOn w:val="1"/>
    <w:link w:val="42"/>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3"/>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4">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autoRedefine/>
    <w:semiHidden/>
    <w:qFormat/>
    <w:uiPriority w:val="0"/>
    <w:pPr>
      <w:ind w:left="840" w:leftChars="400"/>
    </w:pPr>
  </w:style>
  <w:style w:type="paragraph" w:styleId="16">
    <w:name w:val="Plain Text"/>
    <w:basedOn w:val="1"/>
    <w:next w:val="17"/>
    <w:link w:val="41"/>
    <w:autoRedefine/>
    <w:qFormat/>
    <w:uiPriority w:val="99"/>
    <w:rPr>
      <w:rFonts w:ascii="宋体" w:hAnsi="Courier New"/>
      <w:snapToGrid/>
      <w:sz w:val="18"/>
    </w:rPr>
  </w:style>
  <w:style w:type="paragraph" w:styleId="17">
    <w:name w:val="Date"/>
    <w:basedOn w:val="1"/>
    <w:next w:val="1"/>
    <w:link w:val="149"/>
    <w:autoRedefine/>
    <w:qFormat/>
    <w:uiPriority w:val="0"/>
    <w:pPr>
      <w:ind w:left="2500" w:leftChars="2500"/>
    </w:pPr>
    <w:rPr>
      <w:rFonts w:hint="eastAsia" w:ascii="宋体" w:hAnsi="宋体"/>
      <w:snapToGrid/>
      <w:kern w:val="2"/>
      <w:sz w:val="24"/>
    </w:rPr>
  </w:style>
  <w:style w:type="paragraph" w:styleId="18">
    <w:name w:val="Body Text Indent 2"/>
    <w:basedOn w:val="1"/>
    <w:link w:val="128"/>
    <w:autoRedefine/>
    <w:qFormat/>
    <w:uiPriority w:val="0"/>
    <w:pPr>
      <w:spacing w:after="120" w:line="480" w:lineRule="auto"/>
      <w:ind w:left="420" w:leftChars="200"/>
    </w:pPr>
    <w:rPr>
      <w:snapToGrid/>
      <w:kern w:val="2"/>
    </w:rPr>
  </w:style>
  <w:style w:type="paragraph" w:styleId="19">
    <w:name w:val="Balloon Text"/>
    <w:basedOn w:val="1"/>
    <w:link w:val="135"/>
    <w:autoRedefine/>
    <w:qFormat/>
    <w:uiPriority w:val="99"/>
    <w:rPr>
      <w:sz w:val="18"/>
    </w:rPr>
  </w:style>
  <w:style w:type="paragraph" w:styleId="20">
    <w:name w:val="footer"/>
    <w:basedOn w:val="1"/>
    <w:link w:val="44"/>
    <w:autoRedefine/>
    <w:qFormat/>
    <w:uiPriority w:val="0"/>
    <w:pPr>
      <w:tabs>
        <w:tab w:val="center" w:pos="4153"/>
        <w:tab w:val="right" w:pos="8306"/>
      </w:tabs>
      <w:snapToGrid w:val="0"/>
      <w:jc w:val="left"/>
    </w:pPr>
    <w:rPr>
      <w:sz w:val="18"/>
    </w:rPr>
  </w:style>
  <w:style w:type="paragraph" w:styleId="21">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3">
    <w:name w:val="toc 6"/>
    <w:basedOn w:val="1"/>
    <w:next w:val="1"/>
    <w:autoRedefine/>
    <w:qFormat/>
    <w:uiPriority w:val="0"/>
    <w:pPr>
      <w:ind w:left="1050"/>
      <w:jc w:val="left"/>
    </w:pPr>
    <w:rPr>
      <w:sz w:val="18"/>
      <w:szCs w:val="18"/>
    </w:rPr>
  </w:style>
  <w:style w:type="paragraph" w:styleId="24">
    <w:name w:val="Body Text Indent 3"/>
    <w:basedOn w:val="1"/>
    <w:link w:val="129"/>
    <w:autoRedefine/>
    <w:qFormat/>
    <w:uiPriority w:val="0"/>
    <w:pPr>
      <w:spacing w:after="120"/>
      <w:ind w:left="420" w:leftChars="200"/>
    </w:pPr>
    <w:rPr>
      <w:sz w:val="16"/>
    </w:rPr>
  </w:style>
  <w:style w:type="paragraph" w:styleId="25">
    <w:name w:val="toc 2"/>
    <w:basedOn w:val="1"/>
    <w:next w:val="1"/>
    <w:autoRedefine/>
    <w:qFormat/>
    <w:uiPriority w:val="39"/>
    <w:pPr>
      <w:ind w:left="420" w:leftChars="200"/>
    </w:pPr>
  </w:style>
  <w:style w:type="paragraph" w:styleId="26">
    <w:name w:val="Body Text 2"/>
    <w:basedOn w:val="1"/>
    <w:link w:val="46"/>
    <w:autoRedefine/>
    <w:qFormat/>
    <w:uiPriority w:val="0"/>
    <w:pPr>
      <w:spacing w:line="120" w:lineRule="atLeast"/>
    </w:pPr>
    <w:rPr>
      <w:snapToGrid/>
      <w:kern w:val="2"/>
      <w:sz w:val="24"/>
    </w:rPr>
  </w:style>
  <w:style w:type="paragraph" w:styleId="27">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8">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9">
    <w:name w:val="annotation subject"/>
    <w:basedOn w:val="11"/>
    <w:next w:val="11"/>
    <w:link w:val="48"/>
    <w:autoRedefine/>
    <w:qFormat/>
    <w:uiPriority w:val="0"/>
    <w:rPr>
      <w:b/>
      <w:bCs/>
    </w:rPr>
  </w:style>
  <w:style w:type="paragraph" w:styleId="30">
    <w:name w:val="Body Text First Indent 2"/>
    <w:basedOn w:val="13"/>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6"/>
    <w:autoRedefine/>
    <w:qFormat/>
    <w:uiPriority w:val="99"/>
    <w:rPr>
      <w:rFonts w:ascii="宋体" w:hAnsi="Courier New"/>
      <w:snapToGrid/>
      <w:sz w:val="18"/>
    </w:rPr>
  </w:style>
  <w:style w:type="character" w:customStyle="1" w:styleId="42">
    <w:name w:val="正文缩进 字符"/>
    <w:link w:val="8"/>
    <w:autoRedefine/>
    <w:qFormat/>
    <w:uiPriority w:val="0"/>
    <w:rPr>
      <w:rFonts w:eastAsia="宋体"/>
      <w:kern w:val="2"/>
      <w:sz w:val="21"/>
      <w:lang w:val="en-US" w:eastAsia="zh-CN"/>
    </w:rPr>
  </w:style>
  <w:style w:type="character" w:customStyle="1" w:styleId="43">
    <w:name w:val="批注文字 字符"/>
    <w:link w:val="11"/>
    <w:autoRedefine/>
    <w:qFormat/>
    <w:uiPriority w:val="0"/>
    <w:rPr>
      <w:kern w:val="2"/>
      <w:sz w:val="21"/>
    </w:rPr>
  </w:style>
  <w:style w:type="character" w:customStyle="1" w:styleId="44">
    <w:name w:val="页脚 字符"/>
    <w:link w:val="20"/>
    <w:autoRedefine/>
    <w:qFormat/>
    <w:uiPriority w:val="0"/>
    <w:rPr>
      <w:rFonts w:eastAsia="宋体"/>
      <w:snapToGrid w:val="0"/>
      <w:sz w:val="18"/>
      <w:lang w:val="en-US" w:eastAsia="zh-CN"/>
    </w:rPr>
  </w:style>
  <w:style w:type="character" w:customStyle="1" w:styleId="45">
    <w:name w:val="页眉 字符"/>
    <w:link w:val="21"/>
    <w:autoRedefine/>
    <w:qFormat/>
    <w:uiPriority w:val="0"/>
    <w:rPr>
      <w:rFonts w:eastAsia="宋体"/>
      <w:snapToGrid w:val="0"/>
      <w:sz w:val="18"/>
      <w:lang w:val="en-US" w:eastAsia="zh-CN"/>
    </w:rPr>
  </w:style>
  <w:style w:type="character" w:customStyle="1" w:styleId="46">
    <w:name w:val="正文文本 2 字符"/>
    <w:link w:val="26"/>
    <w:autoRedefine/>
    <w:qFormat/>
    <w:uiPriority w:val="0"/>
    <w:rPr>
      <w:rFonts w:eastAsia="宋体"/>
      <w:kern w:val="2"/>
      <w:sz w:val="24"/>
      <w:lang w:val="en-US" w:eastAsia="zh-CN"/>
    </w:rPr>
  </w:style>
  <w:style w:type="character" w:customStyle="1" w:styleId="47">
    <w:name w:val="普通(网站) 字符1"/>
    <w:link w:val="27"/>
    <w:autoRedefine/>
    <w:qFormat/>
    <w:uiPriority w:val="0"/>
    <w:rPr>
      <w:rFonts w:ascii="宋体" w:hAnsi="宋体" w:eastAsia="宋体"/>
      <w:sz w:val="24"/>
      <w:lang w:val="en-US" w:eastAsia="zh-CN" w:bidi="ar-SA"/>
    </w:rPr>
  </w:style>
  <w:style w:type="character" w:customStyle="1" w:styleId="48">
    <w:name w:val="批注主题 字符"/>
    <w:link w:val="29"/>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6"/>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3"/>
    <w:autoRedefine/>
    <w:qFormat/>
    <w:uiPriority w:val="99"/>
    <w:rPr>
      <w:rFonts w:hAnsi="宋体"/>
      <w:snapToGrid w:val="0"/>
      <w:color w:val="000000"/>
      <w:sz w:val="21"/>
      <w:szCs w:val="21"/>
    </w:rPr>
  </w:style>
  <w:style w:type="character" w:customStyle="1" w:styleId="128">
    <w:name w:val="正文文本缩进 2 字符"/>
    <w:basedOn w:val="34"/>
    <w:link w:val="18"/>
    <w:autoRedefine/>
    <w:qFormat/>
    <w:uiPriority w:val="0"/>
    <w:rPr>
      <w:kern w:val="2"/>
      <w:sz w:val="21"/>
    </w:rPr>
  </w:style>
  <w:style w:type="character" w:customStyle="1" w:styleId="129">
    <w:name w:val="正文文本缩进 3 字符"/>
    <w:basedOn w:val="34"/>
    <w:link w:val="24"/>
    <w:autoRedefine/>
    <w:qFormat/>
    <w:uiPriority w:val="0"/>
    <w:rPr>
      <w:snapToGrid w:val="0"/>
      <w:sz w:val="16"/>
    </w:rPr>
  </w:style>
  <w:style w:type="character" w:customStyle="1" w:styleId="130">
    <w:name w:val="标题 1 字符"/>
    <w:basedOn w:val="34"/>
    <w:link w:val="4"/>
    <w:autoRedefine/>
    <w:qFormat/>
    <w:uiPriority w:val="9"/>
    <w:rPr>
      <w:b/>
      <w:snapToGrid w:val="0"/>
      <w:kern w:val="44"/>
      <w:sz w:val="28"/>
      <w:szCs w:val="28"/>
    </w:rPr>
  </w:style>
  <w:style w:type="character" w:customStyle="1" w:styleId="131">
    <w:name w:val="标题 2 字符"/>
    <w:basedOn w:val="34"/>
    <w:link w:val="5"/>
    <w:autoRedefine/>
    <w:qFormat/>
    <w:uiPriority w:val="9"/>
    <w:rPr>
      <w:rFonts w:ascii="宋体" w:hAnsi="宋体" w:cs="宋体"/>
      <w:b/>
      <w:snapToGrid w:val="0"/>
      <w:kern w:val="44"/>
      <w:sz w:val="24"/>
      <w:szCs w:val="24"/>
    </w:rPr>
  </w:style>
  <w:style w:type="character" w:customStyle="1" w:styleId="132">
    <w:name w:val="标题 3 字符"/>
    <w:basedOn w:val="34"/>
    <w:link w:val="6"/>
    <w:autoRedefine/>
    <w:qFormat/>
    <w:uiPriority w:val="9"/>
    <w:rPr>
      <w:rFonts w:ascii="宋体" w:hAnsi="宋体" w:cs="宋体"/>
      <w:b/>
      <w:snapToGrid w:val="0"/>
      <w:kern w:val="44"/>
      <w:sz w:val="24"/>
      <w:szCs w:val="24"/>
    </w:rPr>
  </w:style>
  <w:style w:type="character" w:customStyle="1" w:styleId="133">
    <w:name w:val="标题 4 字符"/>
    <w:basedOn w:val="34"/>
    <w:link w:val="7"/>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9"/>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2"/>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8"/>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7"/>
    <w:autoRedefine/>
    <w:qFormat/>
    <w:uiPriority w:val="0"/>
    <w:rPr>
      <w:rFonts w:ascii="宋体" w:hAnsi="宋体"/>
      <w:kern w:val="2"/>
      <w:sz w:val="24"/>
    </w:rPr>
  </w:style>
  <w:style w:type="paragraph" w:customStyle="1" w:styleId="150">
    <w:name w:val="正文文本首行缩进1"/>
    <w:basedOn w:val="2"/>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3"/>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 w:type="paragraph" w:customStyle="1" w:styleId="167">
    <w:name w:val="表格正文"/>
    <w:basedOn w:val="1"/>
    <w:qFormat/>
    <w:uiPriority w:val="0"/>
    <w:pPr>
      <w:spacing w:line="240" w:lineRule="auto"/>
      <w:ind w:firstLine="0" w:firstLineChars="0"/>
      <w:jc w:val="center"/>
    </w:pPr>
    <w:rPr>
      <w:rFonts w:ascii="Arial" w:hAnsi="Arial" w:eastAsia="宋体"/>
      <w:sz w:val="24"/>
    </w:rPr>
  </w:style>
  <w:style w:type="paragraph" w:customStyle="1" w:styleId="168">
    <w:name w:val="正文无缩进 Char"/>
    <w:basedOn w:val="1"/>
    <w:qFormat/>
    <w:uiPriority w:val="0"/>
    <w:pPr>
      <w:tabs>
        <w:tab w:val="left" w:pos="420"/>
      </w:tabs>
      <w:spacing w:beforeLines="40" w:afterLines="4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38</Pages>
  <Words>5644</Words>
  <Characters>5931</Characters>
  <Lines>1</Lines>
  <Paragraphs>1</Paragraphs>
  <TotalTime>0</TotalTime>
  <ScaleCrop>false</ScaleCrop>
  <LinksUpToDate>false</LinksUpToDate>
  <CharactersWithSpaces>5952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2025-08-15T03:49:05Z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96650B1AEA5D4C288F64837874EFA23A_13</vt:lpwstr>
  </property>
  <property fmtid="{D5CDD505-2E9C-101B-9397-08002B2CF9AE}" pid="4" name="KSOTemplateDocerSaveRecord">
    <vt:lpwstr>eyJoZGlkIjoiNGNjMWNiZjE2MTg1MjE1NzMyOTVhMjFkZDA4Y2NkNjYiLCJ1c2VySWQiOiIxMjUyMTUyOTgyIn0=</vt:lpwstr>
  </property>
</Properties>
</file>