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rFonts w:hint="default"/>
          <w:b w:val="0"/>
          <w:color w:val="auto"/>
          <w:lang w:val="en-US"/>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color w:val="auto"/>
          <w:sz w:val="48"/>
          <w:szCs w:val="48"/>
        </w:rPr>
        <w:t>浙江省人民医院</w:t>
      </w:r>
      <w:r>
        <w:rPr>
          <w:rFonts w:hint="eastAsia"/>
          <w:color w:val="auto"/>
          <w:sz w:val="48"/>
          <w:szCs w:val="48"/>
          <w:lang w:val="en-US" w:eastAsia="zh-CN"/>
        </w:rPr>
        <w:t>富阳院区电瓶车和电动汽车充电桩合作招商项目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w:t>
      </w:r>
      <w:r>
        <w:rPr>
          <w:rFonts w:hint="eastAsia"/>
          <w:b/>
          <w:bCs/>
          <w:sz w:val="32"/>
          <w:szCs w:val="32"/>
          <w:highlight w:val="none"/>
          <w:lang w:val="en-US" w:eastAsia="zh-CN"/>
        </w:rPr>
        <w:t>08</w:t>
      </w:r>
      <w:r>
        <w:rPr>
          <w:rFonts w:hint="eastAsia"/>
          <w:b/>
          <w:bCs/>
          <w:sz w:val="32"/>
          <w:szCs w:val="32"/>
          <w:highlight w:val="none"/>
          <w:lang w:eastAsia="zh-CN"/>
        </w:rPr>
        <w:t>-</w:t>
      </w:r>
      <w:r>
        <w:rPr>
          <w:rFonts w:hint="eastAsia"/>
          <w:b/>
          <w:bCs/>
          <w:sz w:val="32"/>
          <w:szCs w:val="32"/>
          <w:lang w:eastAsia="zh-CN"/>
        </w:rPr>
        <w:t>20250</w:t>
      </w:r>
      <w:r>
        <w:rPr>
          <w:rFonts w:hint="eastAsia"/>
          <w:b/>
          <w:bCs/>
          <w:sz w:val="32"/>
          <w:szCs w:val="32"/>
          <w:lang w:val="en-US" w:eastAsia="zh-CN"/>
        </w:rPr>
        <w:t>7</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七</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4"/>
        <w:rPr>
          <w:rStyle w:val="63"/>
          <w:rFonts w:eastAsia="宋体"/>
          <w:b w:val="0"/>
          <w:sz w:val="28"/>
        </w:rPr>
      </w:pPr>
      <w:bookmarkStart w:id="0" w:name="_Toc118516209"/>
      <w:bookmarkStart w:id="1" w:name="_Toc171394907"/>
      <w:bookmarkStart w:id="2" w:name="_Toc472544470"/>
      <w:bookmarkStart w:id="3" w:name="_Hlk90626799"/>
      <w:r>
        <w:t>第一</w:t>
      </w:r>
      <w:bookmarkEnd w:id="0"/>
      <w:r>
        <w:t>章 竞争性磋商公告</w:t>
      </w:r>
      <w:bookmarkEnd w:id="1"/>
      <w:bookmarkEnd w:id="2"/>
      <w:r>
        <w:t>（非政府采购项目）</w:t>
      </w:r>
    </w:p>
    <w:p w14:paraId="55130C65">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r>
        <w:rPr>
          <w:rFonts w:hint="eastAsia"/>
          <w:sz w:val="24"/>
          <w:shd w:val="clear" w:color="auto" w:fill="FFFFFF"/>
          <w:lang w:val="en-US" w:eastAsia="zh-CN" w:bidi="ar"/>
        </w:rPr>
        <w:t>富阳院区电动自行车和电动汽车充电桩合作招商项目</w:t>
      </w:r>
      <w:r>
        <w:rPr>
          <w:sz w:val="24"/>
          <w:shd w:val="clear" w:color="auto" w:fill="FFFFFF"/>
          <w:lang w:bidi="ar"/>
        </w:rPr>
        <w:t>进行竞争性磋商采购，邀请合格供应商参加磋商。</w:t>
      </w:r>
    </w:p>
    <w:p w14:paraId="204FE2FF">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富阳院区电动自行车和电动汽车充电桩合作招商项目</w:t>
      </w:r>
    </w:p>
    <w:p w14:paraId="5883D439">
      <w:pPr>
        <w:widowControl/>
        <w:spacing w:line="360" w:lineRule="auto"/>
        <w:jc w:val="left"/>
        <w:rPr>
          <w:rFonts w:hint="eastAsia" w:eastAsia="宋体"/>
          <w:lang w:val="en-US" w:eastAsia="zh-CN"/>
        </w:rPr>
      </w:pPr>
      <w:r>
        <w:rPr>
          <w:b/>
          <w:sz w:val="24"/>
          <w:shd w:val="clear" w:color="auto" w:fill="FFFFFF"/>
          <w:lang w:bidi="ar"/>
        </w:rPr>
        <w:t>二、项目编号：</w:t>
      </w:r>
      <w:r>
        <w:rPr>
          <w:rFonts w:hint="eastAsia"/>
          <w:b/>
          <w:sz w:val="24"/>
          <w:shd w:val="clear" w:color="auto" w:fill="FFFFFF"/>
          <w:lang w:bidi="ar"/>
        </w:rPr>
        <w:t>ZRY-</w:t>
      </w:r>
      <w:r>
        <w:rPr>
          <w:rFonts w:hint="eastAsia"/>
          <w:b/>
          <w:sz w:val="24"/>
          <w:shd w:val="clear" w:color="auto" w:fill="FFFFFF"/>
          <w:lang w:val="en-US" w:eastAsia="zh-CN" w:bidi="ar"/>
        </w:rPr>
        <w:t>FY</w:t>
      </w:r>
      <w:r>
        <w:rPr>
          <w:rFonts w:hint="eastAsia"/>
          <w:b/>
          <w:sz w:val="24"/>
          <w:shd w:val="clear" w:color="auto" w:fill="FFFFFF"/>
          <w:lang w:bidi="ar"/>
        </w:rPr>
        <w:t>CG-</w:t>
      </w:r>
      <w:r>
        <w:rPr>
          <w:rFonts w:hint="eastAsia"/>
          <w:b/>
          <w:sz w:val="24"/>
          <w:shd w:val="clear" w:color="auto" w:fill="FFFFFF"/>
          <w:lang w:val="en-US" w:eastAsia="zh-CN" w:bidi="ar"/>
        </w:rPr>
        <w:t>08</w:t>
      </w:r>
      <w:r>
        <w:rPr>
          <w:rFonts w:hint="eastAsia"/>
          <w:b/>
          <w:sz w:val="24"/>
          <w:shd w:val="clear" w:color="auto" w:fill="FFFFFF"/>
          <w:lang w:bidi="ar"/>
        </w:rPr>
        <w:t>-20250</w:t>
      </w:r>
      <w:r>
        <w:rPr>
          <w:rFonts w:hint="eastAsia"/>
          <w:b/>
          <w:sz w:val="24"/>
          <w:shd w:val="clear" w:color="auto" w:fill="FFFFFF"/>
          <w:lang w:val="en-US" w:eastAsia="zh-CN" w:bidi="ar"/>
        </w:rPr>
        <w:t>7</w:t>
      </w:r>
    </w:p>
    <w:p w14:paraId="6D804269">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212643AD">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255F6C22">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0D568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5170CDC7">
            <w:pPr>
              <w:widowControl/>
              <w:snapToGrid w:val="0"/>
              <w:jc w:val="center"/>
              <w:rPr>
                <w:sz w:val="24"/>
                <w:szCs w:val="24"/>
              </w:rPr>
            </w:pPr>
            <w:r>
              <w:rPr>
                <w:sz w:val="24"/>
                <w:szCs w:val="24"/>
              </w:rPr>
              <w:t>序号</w:t>
            </w:r>
          </w:p>
        </w:tc>
        <w:tc>
          <w:tcPr>
            <w:tcW w:w="3969" w:type="dxa"/>
            <w:vAlign w:val="center"/>
          </w:tcPr>
          <w:p w14:paraId="52C7558B">
            <w:pPr>
              <w:widowControl/>
              <w:snapToGrid w:val="0"/>
              <w:jc w:val="center"/>
              <w:rPr>
                <w:sz w:val="24"/>
                <w:szCs w:val="24"/>
              </w:rPr>
            </w:pPr>
            <w:r>
              <w:rPr>
                <w:sz w:val="24"/>
                <w:szCs w:val="24"/>
              </w:rPr>
              <w:t>标项内容</w:t>
            </w:r>
          </w:p>
        </w:tc>
        <w:tc>
          <w:tcPr>
            <w:tcW w:w="1134" w:type="dxa"/>
            <w:vAlign w:val="center"/>
          </w:tcPr>
          <w:p w14:paraId="0907FDD9">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843" w:type="dxa"/>
            <w:vAlign w:val="center"/>
          </w:tcPr>
          <w:p w14:paraId="1391F1C3">
            <w:pPr>
              <w:widowControl/>
              <w:snapToGrid w:val="0"/>
              <w:jc w:val="center"/>
              <w:rPr>
                <w:sz w:val="24"/>
                <w:szCs w:val="24"/>
              </w:rPr>
            </w:pPr>
            <w:r>
              <w:rPr>
                <w:sz w:val="24"/>
                <w:szCs w:val="24"/>
              </w:rPr>
              <w:t>预算金额</w:t>
            </w:r>
          </w:p>
        </w:tc>
        <w:tc>
          <w:tcPr>
            <w:tcW w:w="1212" w:type="dxa"/>
            <w:vAlign w:val="center"/>
          </w:tcPr>
          <w:p w14:paraId="17DB04B9">
            <w:pPr>
              <w:widowControl/>
              <w:snapToGrid w:val="0"/>
              <w:jc w:val="center"/>
              <w:rPr>
                <w:sz w:val="24"/>
                <w:szCs w:val="24"/>
              </w:rPr>
            </w:pPr>
            <w:r>
              <w:rPr>
                <w:rFonts w:hint="eastAsia"/>
                <w:sz w:val="24"/>
                <w:szCs w:val="24"/>
              </w:rPr>
              <w:t>项目概况</w:t>
            </w:r>
          </w:p>
        </w:tc>
      </w:tr>
      <w:tr w14:paraId="638C56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496B96B5">
            <w:pPr>
              <w:widowControl/>
              <w:spacing w:line="360" w:lineRule="auto"/>
              <w:ind w:left="60" w:right="60"/>
              <w:jc w:val="center"/>
              <w:rPr>
                <w:sz w:val="24"/>
                <w:szCs w:val="24"/>
              </w:rPr>
            </w:pPr>
            <w:r>
              <w:rPr>
                <w:sz w:val="24"/>
                <w:szCs w:val="24"/>
              </w:rPr>
              <w:t>1</w:t>
            </w:r>
          </w:p>
        </w:tc>
        <w:tc>
          <w:tcPr>
            <w:tcW w:w="3969" w:type="dxa"/>
            <w:vAlign w:val="center"/>
          </w:tcPr>
          <w:p w14:paraId="7B2EC1A0">
            <w:pPr>
              <w:widowControl/>
              <w:snapToGrid w:val="0"/>
              <w:jc w:val="center"/>
              <w:rPr>
                <w:sz w:val="24"/>
                <w:szCs w:val="24"/>
              </w:rPr>
            </w:pPr>
            <w:r>
              <w:rPr>
                <w:rFonts w:hint="eastAsia"/>
                <w:sz w:val="24"/>
                <w:shd w:val="clear" w:color="auto" w:fill="FFFFFF"/>
                <w:lang w:bidi="ar"/>
              </w:rPr>
              <w:t>浙江省人民医院</w:t>
            </w:r>
            <w:r>
              <w:rPr>
                <w:rFonts w:hint="eastAsia"/>
                <w:sz w:val="24"/>
                <w:shd w:val="clear" w:color="auto" w:fill="FFFFFF"/>
                <w:lang w:val="en-US" w:eastAsia="zh-CN" w:bidi="ar"/>
              </w:rPr>
              <w:t>富阳院区电动自行车和电动汽车充电桩合作招商项目</w:t>
            </w:r>
          </w:p>
        </w:tc>
        <w:tc>
          <w:tcPr>
            <w:tcW w:w="1134" w:type="dxa"/>
            <w:vAlign w:val="center"/>
          </w:tcPr>
          <w:p w14:paraId="25408E41">
            <w:pPr>
              <w:jc w:val="center"/>
              <w:rPr>
                <w:rFonts w:hint="default" w:eastAsia="宋体"/>
                <w:sz w:val="24"/>
                <w:szCs w:val="24"/>
                <w:lang w:val="en-US" w:eastAsia="zh-CN"/>
              </w:rPr>
            </w:pPr>
            <w:r>
              <w:rPr>
                <w:rFonts w:hint="eastAsia"/>
                <w:sz w:val="24"/>
                <w:szCs w:val="24"/>
                <w:lang w:val="en-US" w:eastAsia="zh-CN"/>
              </w:rPr>
              <w:t>合同签订日至2027年5月31日</w:t>
            </w:r>
          </w:p>
        </w:tc>
        <w:tc>
          <w:tcPr>
            <w:tcW w:w="1843" w:type="dxa"/>
            <w:vAlign w:val="center"/>
          </w:tcPr>
          <w:p w14:paraId="0A087BA6">
            <w:pPr>
              <w:jc w:val="center"/>
              <w:rPr>
                <w:rFonts w:hint="default" w:eastAsia="宋体"/>
                <w:sz w:val="24"/>
                <w:szCs w:val="24"/>
                <w:lang w:val="en-US" w:eastAsia="zh-CN"/>
              </w:rPr>
            </w:pPr>
            <w:r>
              <w:rPr>
                <w:rFonts w:hint="eastAsia"/>
                <w:sz w:val="24"/>
                <w:szCs w:val="24"/>
                <w:lang w:val="en-US" w:eastAsia="zh-CN"/>
              </w:rPr>
              <w:t>收入类</w:t>
            </w:r>
          </w:p>
        </w:tc>
        <w:tc>
          <w:tcPr>
            <w:tcW w:w="1212" w:type="dxa"/>
            <w:vAlign w:val="center"/>
          </w:tcPr>
          <w:p w14:paraId="0DC3D630">
            <w:pPr>
              <w:jc w:val="center"/>
              <w:rPr>
                <w:sz w:val="24"/>
                <w:szCs w:val="24"/>
              </w:rPr>
            </w:pPr>
            <w:r>
              <w:rPr>
                <w:rFonts w:hint="eastAsia"/>
                <w:sz w:val="24"/>
                <w:szCs w:val="24"/>
              </w:rPr>
              <w:t>详见采购需求</w:t>
            </w:r>
          </w:p>
        </w:tc>
      </w:tr>
    </w:tbl>
    <w:p w14:paraId="220BC0BE">
      <w:pPr>
        <w:widowControl/>
        <w:spacing w:line="360" w:lineRule="auto"/>
        <w:jc w:val="left"/>
        <w:rPr>
          <w:sz w:val="24"/>
          <w:szCs w:val="24"/>
        </w:rPr>
      </w:pPr>
      <w:r>
        <w:rPr>
          <w:b/>
          <w:sz w:val="24"/>
          <w:szCs w:val="24"/>
          <w:shd w:val="clear" w:color="auto" w:fill="FFFFFF"/>
          <w:lang w:bidi="ar"/>
        </w:rPr>
        <w:t>六、供应商资格条件要求：</w:t>
      </w:r>
    </w:p>
    <w:p w14:paraId="29D44B0D">
      <w:pPr>
        <w:widowControl/>
        <w:snapToGrid w:val="0"/>
        <w:spacing w:line="360" w:lineRule="auto"/>
        <w:rPr>
          <w:sz w:val="24"/>
          <w:szCs w:val="24"/>
        </w:rPr>
      </w:pPr>
      <w:r>
        <w:rPr>
          <w:sz w:val="24"/>
          <w:szCs w:val="24"/>
        </w:rPr>
        <w:t>（1）具有独立承担民事责任的能力；</w:t>
      </w:r>
    </w:p>
    <w:p w14:paraId="601B54BE">
      <w:pPr>
        <w:widowControl/>
        <w:snapToGrid w:val="0"/>
        <w:spacing w:line="360" w:lineRule="auto"/>
        <w:rPr>
          <w:sz w:val="24"/>
          <w:szCs w:val="24"/>
        </w:rPr>
      </w:pPr>
      <w:r>
        <w:rPr>
          <w:sz w:val="24"/>
          <w:szCs w:val="24"/>
        </w:rPr>
        <w:t>（2）具有良好的商业信誉和健全的财务会计制度；</w:t>
      </w:r>
    </w:p>
    <w:p w14:paraId="3D213256">
      <w:pPr>
        <w:widowControl/>
        <w:snapToGrid w:val="0"/>
        <w:spacing w:line="360" w:lineRule="auto"/>
        <w:rPr>
          <w:sz w:val="24"/>
          <w:szCs w:val="24"/>
        </w:rPr>
      </w:pPr>
      <w:r>
        <w:rPr>
          <w:sz w:val="24"/>
          <w:szCs w:val="24"/>
        </w:rPr>
        <w:t>（3）具有履行合同所必需的设备和专业技术能力；</w:t>
      </w:r>
    </w:p>
    <w:p w14:paraId="7543788D">
      <w:pPr>
        <w:widowControl/>
        <w:snapToGrid w:val="0"/>
        <w:spacing w:line="360" w:lineRule="auto"/>
        <w:rPr>
          <w:sz w:val="24"/>
          <w:szCs w:val="24"/>
        </w:rPr>
      </w:pPr>
      <w:r>
        <w:rPr>
          <w:sz w:val="24"/>
          <w:szCs w:val="24"/>
        </w:rPr>
        <w:t>（4）有依法缴纳税收和社会保障资金的良好记录；</w:t>
      </w:r>
    </w:p>
    <w:p w14:paraId="2E7730D0">
      <w:pPr>
        <w:widowControl/>
        <w:snapToGrid w:val="0"/>
        <w:spacing w:line="360" w:lineRule="auto"/>
        <w:rPr>
          <w:sz w:val="24"/>
          <w:szCs w:val="24"/>
        </w:rPr>
      </w:pPr>
      <w:r>
        <w:rPr>
          <w:sz w:val="24"/>
          <w:szCs w:val="24"/>
        </w:rPr>
        <w:t>（5）截止投标之日前三年内，在经营活动中没有重大违法记录；</w:t>
      </w:r>
    </w:p>
    <w:p w14:paraId="705120AD">
      <w:pPr>
        <w:widowControl/>
        <w:snapToGrid w:val="0"/>
        <w:spacing w:line="360" w:lineRule="auto"/>
        <w:rPr>
          <w:sz w:val="24"/>
          <w:szCs w:val="24"/>
        </w:rPr>
      </w:pPr>
      <w:r>
        <w:rPr>
          <w:sz w:val="24"/>
          <w:szCs w:val="24"/>
        </w:rPr>
        <w:t>（6）法律、行政法规规定的其他条件；</w:t>
      </w:r>
    </w:p>
    <w:p w14:paraId="55DF30B0">
      <w:pPr>
        <w:widowControl/>
        <w:snapToGrid w:val="0"/>
        <w:spacing w:line="360" w:lineRule="auto"/>
        <w:rPr>
          <w:sz w:val="24"/>
          <w:szCs w:val="24"/>
        </w:rPr>
      </w:pPr>
      <w:r>
        <w:rPr>
          <w:sz w:val="24"/>
          <w:szCs w:val="24"/>
        </w:rPr>
        <w:t>（7）本项目不接受联合体参磋商</w:t>
      </w:r>
      <w:r>
        <w:rPr>
          <w:rFonts w:hint="eastAsia"/>
          <w:sz w:val="24"/>
          <w:szCs w:val="24"/>
        </w:rPr>
        <w:t>；</w:t>
      </w:r>
    </w:p>
    <w:p w14:paraId="0F36FFF4">
      <w:pPr>
        <w:widowControl/>
        <w:snapToGrid w:val="0"/>
        <w:spacing w:line="360" w:lineRule="auto"/>
        <w:rPr>
          <w:sz w:val="24"/>
          <w:szCs w:val="24"/>
        </w:rPr>
      </w:pPr>
      <w:r>
        <w:rPr>
          <w:rFonts w:hint="eastAsia"/>
          <w:sz w:val="24"/>
          <w:szCs w:val="24"/>
        </w:rPr>
        <w:t>（8）特定资格条件：无。</w:t>
      </w:r>
    </w:p>
    <w:p w14:paraId="486492A7">
      <w:pPr>
        <w:widowControl/>
        <w:snapToGrid w:val="0"/>
        <w:spacing w:line="360" w:lineRule="auto"/>
        <w:rPr>
          <w:b/>
          <w:sz w:val="24"/>
          <w:szCs w:val="24"/>
        </w:rPr>
      </w:pPr>
      <w:r>
        <w:rPr>
          <w:b/>
          <w:sz w:val="24"/>
          <w:szCs w:val="24"/>
        </w:rPr>
        <w:t>七、获取采购文件：</w:t>
      </w:r>
    </w:p>
    <w:p w14:paraId="75F0C2A4">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08</w:t>
      </w:r>
      <w:r>
        <w:rPr>
          <w:rFonts w:hint="eastAsia"/>
          <w:sz w:val="24"/>
          <w:szCs w:val="24"/>
        </w:rPr>
        <w:t>月</w:t>
      </w:r>
      <w:r>
        <w:rPr>
          <w:rFonts w:hint="eastAsia"/>
          <w:sz w:val="24"/>
          <w:szCs w:val="24"/>
          <w:lang w:val="en-US" w:eastAsia="zh-CN"/>
        </w:rPr>
        <w:t>04</w:t>
      </w:r>
      <w:r>
        <w:rPr>
          <w:rFonts w:hint="eastAsia"/>
          <w:sz w:val="24"/>
          <w:szCs w:val="24"/>
        </w:rPr>
        <w:t>日</w:t>
      </w:r>
      <w:r>
        <w:rPr>
          <w:rFonts w:hint="eastAsia"/>
          <w:sz w:val="24"/>
          <w:szCs w:val="24"/>
          <w:lang w:val="en-US" w:eastAsia="zh-CN"/>
        </w:rPr>
        <w:t>17</w:t>
      </w:r>
      <w:r>
        <w:rPr>
          <w:rFonts w:hint="eastAsia"/>
          <w:sz w:val="24"/>
          <w:szCs w:val="24"/>
        </w:rPr>
        <w:t>:00止</w:t>
      </w:r>
    </w:p>
    <w:p w14:paraId="61206112">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登记表（附件2）、扫描件、营业执照副本扫描件、法人授权委托书扫描件、被授权人身份证扫描件发送至zjsrmyyfyyq_cgzx@163.com。</w:t>
      </w:r>
    </w:p>
    <w:p w14:paraId="52E27B9C">
      <w:pPr>
        <w:widowControl/>
        <w:snapToGrid w:val="0"/>
        <w:spacing w:line="360" w:lineRule="auto"/>
        <w:rPr>
          <w:sz w:val="24"/>
          <w:szCs w:val="24"/>
        </w:rPr>
      </w:pPr>
      <w:r>
        <w:rPr>
          <w:sz w:val="24"/>
          <w:szCs w:val="24"/>
        </w:rPr>
        <w:t>（3）采购机构将拒绝接受非报名供应商参与磋商。</w:t>
      </w:r>
    </w:p>
    <w:p w14:paraId="59DAF662">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4E9BC619">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rFonts w:hint="eastAsia"/>
          <w:sz w:val="24"/>
          <w:szCs w:val="24"/>
          <w:shd w:val="clear" w:color="auto" w:fill="FFFFFF"/>
          <w:lang w:val="en-US" w:eastAsia="zh-CN" w:bidi="ar"/>
        </w:rPr>
        <w:t>08</w:t>
      </w:r>
      <w:r>
        <w:rPr>
          <w:rFonts w:hint="eastAsia"/>
          <w:sz w:val="24"/>
          <w:szCs w:val="24"/>
          <w:shd w:val="clear" w:color="auto" w:fill="FFFFFF"/>
          <w:lang w:bidi="ar"/>
        </w:rPr>
        <w:t>月</w:t>
      </w:r>
      <w:r>
        <w:rPr>
          <w:rFonts w:hint="eastAsia"/>
          <w:sz w:val="24"/>
          <w:szCs w:val="24"/>
          <w:shd w:val="clear" w:color="auto" w:fill="FFFFFF"/>
          <w:lang w:val="en-US" w:eastAsia="zh-CN" w:bidi="ar"/>
        </w:rPr>
        <w:t>05</w:t>
      </w:r>
      <w:r>
        <w:rPr>
          <w:rFonts w:hint="eastAsia"/>
          <w:sz w:val="24"/>
          <w:szCs w:val="24"/>
          <w:shd w:val="clear" w:color="auto" w:fill="FFFFFF"/>
          <w:lang w:bidi="ar"/>
        </w:rPr>
        <w:t>日</w:t>
      </w:r>
      <w:r>
        <w:rPr>
          <w:rFonts w:hint="eastAsia"/>
          <w:sz w:val="24"/>
          <w:szCs w:val="24"/>
          <w:shd w:val="clear" w:color="auto" w:fill="FFFFFF"/>
          <w:lang w:val="en-US" w:eastAsia="zh-CN" w:bidi="ar"/>
        </w:rPr>
        <w:t>上午08</w:t>
      </w:r>
      <w:r>
        <w:rPr>
          <w:rFonts w:hint="eastAsia"/>
          <w:sz w:val="24"/>
          <w:szCs w:val="24"/>
          <w:shd w:val="clear" w:color="auto" w:fill="FFFFFF"/>
          <w:lang w:bidi="ar"/>
        </w:rPr>
        <w:t>:</w:t>
      </w:r>
      <w:r>
        <w:rPr>
          <w:rFonts w:hint="eastAsia"/>
          <w:sz w:val="24"/>
          <w:szCs w:val="24"/>
          <w:shd w:val="clear" w:color="auto" w:fill="FFFFFF"/>
          <w:lang w:val="en-US" w:eastAsia="zh-CN" w:bidi="ar"/>
        </w:rPr>
        <w:t>3</w:t>
      </w:r>
      <w:r>
        <w:rPr>
          <w:rFonts w:hint="eastAsia"/>
          <w:sz w:val="24"/>
          <w:szCs w:val="24"/>
          <w:shd w:val="clear" w:color="auto" w:fill="FFFFFF"/>
          <w:lang w:bidi="ar"/>
        </w:rPr>
        <w:t>0至</w:t>
      </w:r>
      <w:r>
        <w:rPr>
          <w:rFonts w:hint="eastAsia"/>
          <w:sz w:val="24"/>
          <w:szCs w:val="24"/>
          <w:shd w:val="clear" w:color="auto" w:fill="FFFFFF"/>
          <w:lang w:val="en-US" w:eastAsia="zh-CN" w:bidi="ar"/>
        </w:rPr>
        <w:t>09</w:t>
      </w:r>
      <w:r>
        <w:rPr>
          <w:rFonts w:hint="eastAsia"/>
          <w:sz w:val="24"/>
          <w:szCs w:val="24"/>
          <w:shd w:val="clear" w:color="auto" w:fill="FFFFFF"/>
          <w:lang w:bidi="ar"/>
        </w:rPr>
        <w:t>:</w:t>
      </w:r>
      <w:r>
        <w:rPr>
          <w:rFonts w:hint="eastAsia"/>
          <w:sz w:val="24"/>
          <w:szCs w:val="24"/>
          <w:shd w:val="clear" w:color="auto" w:fill="FFFFFF"/>
          <w:lang w:val="en-US" w:eastAsia="zh-CN" w:bidi="ar"/>
        </w:rPr>
        <w:t>0</w:t>
      </w:r>
      <w:r>
        <w:rPr>
          <w:rFonts w:hint="eastAsia"/>
          <w:sz w:val="24"/>
          <w:szCs w:val="24"/>
          <w:shd w:val="clear" w:color="auto" w:fill="FFFFFF"/>
          <w:lang w:bidi="ar"/>
        </w:rPr>
        <w:t>0整将响应文件密封送交到浙江省人民医院</w:t>
      </w:r>
      <w:r>
        <w:rPr>
          <w:rFonts w:hint="eastAsia"/>
          <w:sz w:val="24"/>
          <w:szCs w:val="24"/>
          <w:shd w:val="clear" w:color="auto" w:fill="FFFFFF"/>
          <w:lang w:val="en-US" w:eastAsia="zh-CN" w:bidi="ar"/>
        </w:rPr>
        <w:t>富阳院区9</w:t>
      </w:r>
      <w:r>
        <w:rPr>
          <w:rFonts w:hint="eastAsia"/>
          <w:sz w:val="24"/>
          <w:szCs w:val="24"/>
          <w:shd w:val="clear" w:color="auto" w:fill="FFFFFF"/>
          <w:lang w:bidi="ar"/>
        </w:rPr>
        <w:t>号楼3楼</w:t>
      </w:r>
      <w:r>
        <w:rPr>
          <w:rFonts w:hint="eastAsia"/>
          <w:sz w:val="24"/>
          <w:szCs w:val="24"/>
          <w:shd w:val="clear" w:color="auto" w:fill="FFFFFF"/>
          <w:lang w:val="en-US" w:eastAsia="zh-CN" w:bidi="ar"/>
        </w:rPr>
        <w:t>会议室</w:t>
      </w:r>
      <w:r>
        <w:rPr>
          <w:rFonts w:hint="eastAsia"/>
          <w:sz w:val="24"/>
          <w:szCs w:val="24"/>
          <w:shd w:val="clear" w:color="auto" w:fill="FFFFFF"/>
          <w:lang w:bidi="ar"/>
        </w:rPr>
        <w:t>。</w:t>
      </w:r>
    </w:p>
    <w:p w14:paraId="231192E0">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684F3A4A">
      <w:pPr>
        <w:widowControl/>
        <w:snapToGrid w:val="0"/>
        <w:spacing w:line="360" w:lineRule="auto"/>
        <w:rPr>
          <w:sz w:val="24"/>
          <w:szCs w:val="24"/>
        </w:rPr>
      </w:pPr>
      <w:r>
        <w:rPr>
          <w:b/>
          <w:sz w:val="24"/>
          <w:szCs w:val="24"/>
          <w:shd w:val="clear" w:color="auto" w:fill="FFFFFF"/>
          <w:lang w:bidi="ar"/>
        </w:rPr>
        <w:t>九、联系方式：</w:t>
      </w:r>
    </w:p>
    <w:p w14:paraId="2DE5C75B">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3EC4692C">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5C4D8FBB">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2702BE9F">
      <w:pPr>
        <w:widowControl/>
        <w:spacing w:line="360" w:lineRule="auto"/>
        <w:ind w:right="720"/>
        <w:jc w:val="center"/>
        <w:rPr>
          <w:sz w:val="24"/>
          <w:szCs w:val="24"/>
          <w:shd w:val="clear" w:color="auto" w:fill="FFFFFF"/>
          <w:lang w:bidi="ar"/>
        </w:rPr>
      </w:pPr>
      <w:bookmarkStart w:id="45" w:name="_GoBack"/>
      <w:bookmarkEnd w:id="45"/>
    </w:p>
    <w:p w14:paraId="62D88DA2">
      <w:pPr>
        <w:pStyle w:val="29"/>
        <w:rPr>
          <w:rFonts w:hAnsi="Times New Roman"/>
          <w:color w:val="auto"/>
        </w:rPr>
      </w:pPr>
    </w:p>
    <w:bookmarkEnd w:id="4"/>
    <w:p w14:paraId="28BE7950">
      <w:pPr>
        <w:pStyle w:val="2"/>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71394914"/>
      <w:bookmarkStart w:id="8" w:name="_Toc118516210"/>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eastAsia="宋体"/>
                <w:sz w:val="24"/>
                <w:lang w:val="en-US" w:eastAsia="zh-CN"/>
              </w:rPr>
            </w:pPr>
            <w:r>
              <w:rPr>
                <w:rFonts w:hint="eastAsia" w:ascii="Times New Roman" w:hAnsi="Times New Roman"/>
                <w:sz w:val="24"/>
                <w:highlight w:val="yellow"/>
                <w:lang w:val="en-US" w:eastAsia="zh-CN"/>
              </w:rPr>
              <w:t>电瓶车向社会收取充电费限价</w:t>
            </w:r>
            <w:r>
              <w:rPr>
                <w:rFonts w:hint="eastAsia" w:ascii="Times New Roman" w:hAnsi="Times New Roman" w:cs="Times New Roman"/>
                <w:sz w:val="24"/>
                <w:highlight w:val="yellow"/>
                <w:lang w:val="en-US" w:eastAsia="zh-CN"/>
              </w:rPr>
              <w:t>按1元/4小时，2元/充满的价格；电动汽车向社会收取充电费限价按1.2元/度</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4"/>
      </w:pPr>
      <w:r>
        <w:rPr>
          <w:sz w:val="21"/>
          <w:szCs w:val="21"/>
        </w:rPr>
        <w:br w:type="page"/>
      </w:r>
      <w:bookmarkStart w:id="9" w:name="_Toc495317669"/>
      <w:r>
        <w:t>第二章 采购内容及需求</w:t>
      </w:r>
      <w:bookmarkEnd w:id="9"/>
    </w:p>
    <w:p w14:paraId="650B6A3E">
      <w:pPr>
        <w:pStyle w:val="5"/>
        <w:ind w:firstLine="480"/>
        <w:rPr>
          <w:rFonts w:hint="eastAsia"/>
          <w:sz w:val="24"/>
          <w:szCs w:val="22"/>
          <w:lang w:val="en-US" w:eastAsia="zh-CN"/>
        </w:rPr>
      </w:pPr>
      <w:bookmarkStart w:id="10" w:name="_Toc472544471"/>
      <w:r>
        <w:rPr>
          <w:rFonts w:hint="eastAsia"/>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2"/>
          <w:lang w:val="en-US" w:eastAsia="zh-CN"/>
        </w:rPr>
      </w:pPr>
      <w:r>
        <w:rPr>
          <w:rFonts w:hint="eastAsia"/>
          <w:b/>
          <w:bCs/>
          <w:sz w:val="24"/>
          <w:szCs w:val="22"/>
          <w:lang w:val="en-US" w:eastAsia="zh-CN"/>
        </w:rPr>
        <w:t>1.1项目情况：</w:t>
      </w:r>
      <w:r>
        <w:rPr>
          <w:rFonts w:hint="eastAsia"/>
          <w:sz w:val="24"/>
          <w:szCs w:val="22"/>
        </w:rPr>
        <w:t>浙江省人民医院</w:t>
      </w:r>
      <w:r>
        <w:rPr>
          <w:rFonts w:hint="eastAsia"/>
          <w:sz w:val="24"/>
          <w:szCs w:val="22"/>
          <w:lang w:val="en-US" w:eastAsia="zh-CN"/>
        </w:rPr>
        <w:t>富阳院区</w:t>
      </w:r>
      <w:r>
        <w:rPr>
          <w:rFonts w:hint="eastAsia" w:ascii="Times New Roman" w:hAnsi="Times New Roman" w:cs="Times New Roman"/>
          <w:sz w:val="24"/>
          <w:szCs w:val="22"/>
          <w:lang w:val="en-US" w:eastAsia="zh-CN"/>
        </w:rPr>
        <w:t>电瓶车充电点位4处，供应商免费提供充电设备200个（按照实际情况增减设备）及运维管理。电动汽车充电桩共计180个，其中快充46个，慢充134个，开通运行相关费用及手续由供应商负责，并提供新能源电动车</w:t>
      </w:r>
      <w:bookmarkStart w:id="11" w:name="_Hlk177562720"/>
      <w:r>
        <w:rPr>
          <w:rFonts w:hint="eastAsia" w:ascii="Times New Roman" w:hAnsi="Times New Roman" w:cs="Times New Roman"/>
          <w:sz w:val="24"/>
          <w:szCs w:val="22"/>
          <w:lang w:val="en-US" w:eastAsia="zh-CN"/>
        </w:rPr>
        <w:t>充电桩维护管理服务</w:t>
      </w:r>
      <w:bookmarkEnd w:id="11"/>
      <w:r>
        <w:rPr>
          <w:rFonts w:hint="eastAsia" w:ascii="Times New Roman" w:hAnsi="Times New Roman" w:cs="Times New Roman"/>
          <w:sz w:val="24"/>
          <w:szCs w:val="22"/>
          <w:lang w:val="en-US" w:eastAsia="zh-CN"/>
        </w:rPr>
        <w:t>。供应商负责免费提供和安装符合国家标准的的独立计量电表</w:t>
      </w:r>
      <w:r>
        <w:rPr>
          <w:rFonts w:hint="eastAsia"/>
          <w:sz w:val="24"/>
          <w:szCs w:val="22"/>
        </w:rPr>
        <w:t>等</w:t>
      </w:r>
      <w:r>
        <w:rPr>
          <w:rFonts w:hint="eastAsia"/>
          <w:sz w:val="24"/>
          <w:szCs w:val="22"/>
          <w:lang w:val="en-US" w:eastAsia="zh-CN"/>
        </w:rPr>
        <w:t>相关</w:t>
      </w:r>
      <w:r>
        <w:rPr>
          <w:sz w:val="24"/>
          <w:szCs w:val="22"/>
        </w:rPr>
        <w:t>内容</w:t>
      </w:r>
      <w:r>
        <w:rPr>
          <w:rFonts w:hint="eastAsia"/>
          <w:sz w:val="24"/>
          <w:szCs w:val="22"/>
          <w:lang w:eastAsia="zh-CN"/>
        </w:rPr>
        <w:t>。</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bookmarkStart w:id="12" w:name="_Toc32334"/>
      <w:r>
        <w:rPr>
          <w:rFonts w:hint="eastAsia"/>
          <w:b/>
          <w:bCs/>
          <w:sz w:val="24"/>
          <w:szCs w:val="22"/>
        </w:rPr>
        <w:t>1.</w:t>
      </w:r>
      <w:bookmarkEnd w:id="12"/>
      <w:r>
        <w:rPr>
          <w:rFonts w:hint="eastAsia"/>
          <w:b/>
          <w:bCs/>
          <w:sz w:val="24"/>
          <w:szCs w:val="22"/>
          <w:lang w:val="en-US" w:eastAsia="zh-CN"/>
        </w:rPr>
        <w:t>2报价</w:t>
      </w:r>
      <w:r>
        <w:rPr>
          <w:rFonts w:hint="eastAsia"/>
          <w:b/>
          <w:bCs/>
          <w:sz w:val="24"/>
          <w:szCs w:val="22"/>
        </w:rPr>
        <w:t>要求</w:t>
      </w:r>
    </w:p>
    <w:tbl>
      <w:tblPr>
        <w:tblStyle w:val="31"/>
        <w:tblW w:w="5982" w:type="pct"/>
        <w:jc w:val="center"/>
        <w:tblLayout w:type="fixed"/>
        <w:tblCellMar>
          <w:top w:w="0" w:type="dxa"/>
          <w:left w:w="108" w:type="dxa"/>
          <w:bottom w:w="0" w:type="dxa"/>
          <w:right w:w="108" w:type="dxa"/>
        </w:tblCellMar>
      </w:tblPr>
      <w:tblGrid>
        <w:gridCol w:w="834"/>
        <w:gridCol w:w="1834"/>
        <w:gridCol w:w="1740"/>
        <w:gridCol w:w="3129"/>
        <w:gridCol w:w="2660"/>
      </w:tblGrid>
      <w:tr w14:paraId="130DD1C5">
        <w:tblPrEx>
          <w:tblCellMar>
            <w:top w:w="0" w:type="dxa"/>
            <w:left w:w="108" w:type="dxa"/>
            <w:bottom w:w="0" w:type="dxa"/>
            <w:right w:w="108" w:type="dxa"/>
          </w:tblCellMar>
        </w:tblPrEx>
        <w:trPr>
          <w:trHeight w:val="67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37BE1A90">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b/>
                <w:bCs/>
                <w:color w:val="000000"/>
                <w:sz w:val="28"/>
                <w:szCs w:val="28"/>
                <w:lang w:eastAsia="zh-CN"/>
              </w:rPr>
              <w:t>报价清单</w:t>
            </w:r>
          </w:p>
        </w:tc>
      </w:tr>
      <w:tr w14:paraId="38FDE85F">
        <w:tblPrEx>
          <w:tblCellMar>
            <w:top w:w="0" w:type="dxa"/>
            <w:left w:w="108" w:type="dxa"/>
            <w:bottom w:w="0" w:type="dxa"/>
            <w:right w:w="108" w:type="dxa"/>
          </w:tblCellMar>
        </w:tblPrEx>
        <w:trPr>
          <w:trHeight w:val="540" w:hRule="atLeast"/>
          <w:jc w:val="center"/>
        </w:trPr>
        <w:tc>
          <w:tcPr>
            <w:tcW w:w="408" w:type="pct"/>
            <w:tcBorders>
              <w:top w:val="single" w:color="000000" w:sz="4" w:space="0"/>
              <w:left w:val="single" w:color="000000" w:sz="4" w:space="0"/>
              <w:bottom w:val="single" w:color="000000" w:sz="4" w:space="0"/>
              <w:right w:val="single" w:color="000000" w:sz="4" w:space="0"/>
            </w:tcBorders>
            <w:vAlign w:val="center"/>
          </w:tcPr>
          <w:p w14:paraId="143522AC">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序号</w:t>
            </w:r>
          </w:p>
        </w:tc>
        <w:tc>
          <w:tcPr>
            <w:tcW w:w="899" w:type="pct"/>
            <w:tcBorders>
              <w:top w:val="single" w:color="000000" w:sz="4" w:space="0"/>
              <w:left w:val="single" w:color="000000" w:sz="4" w:space="0"/>
              <w:bottom w:val="single" w:color="000000" w:sz="4" w:space="0"/>
              <w:right w:val="single" w:color="000000" w:sz="4" w:space="0"/>
            </w:tcBorders>
            <w:vAlign w:val="center"/>
          </w:tcPr>
          <w:p w14:paraId="557FEB7D">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内容</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78B2">
            <w:pPr>
              <w:widowControl/>
              <w:spacing w:line="276" w:lineRule="auto"/>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cs="宋体"/>
                <w:b/>
                <w:bCs/>
                <w:color w:val="000000"/>
                <w:szCs w:val="21"/>
                <w:lang w:val="en-US" w:eastAsia="zh-CN"/>
              </w:rPr>
              <w:t>基础电费</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EF13">
            <w:pPr>
              <w:widowControl/>
              <w:spacing w:line="276" w:lineRule="auto"/>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cs="宋体"/>
                <w:b/>
                <w:bCs/>
                <w:snapToGrid w:val="0"/>
                <w:color w:val="000000"/>
                <w:sz w:val="21"/>
                <w:szCs w:val="21"/>
                <w:lang w:val="en-US" w:eastAsia="zh-CN" w:bidi="ar-SA"/>
              </w:rPr>
              <w:t>服务费折扣（扣除基础电费外）</w:t>
            </w:r>
          </w:p>
        </w:tc>
        <w:tc>
          <w:tcPr>
            <w:tcW w:w="1304" w:type="pct"/>
            <w:tcBorders>
              <w:top w:val="single" w:color="000000" w:sz="4" w:space="0"/>
              <w:left w:val="single" w:color="000000" w:sz="4" w:space="0"/>
              <w:bottom w:val="single" w:color="000000" w:sz="4" w:space="0"/>
              <w:right w:val="single" w:color="000000" w:sz="4" w:space="0"/>
            </w:tcBorders>
            <w:vAlign w:val="center"/>
          </w:tcPr>
          <w:p w14:paraId="07007E67">
            <w:pPr>
              <w:widowControl/>
              <w:spacing w:line="276" w:lineRule="auto"/>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备注</w:t>
            </w:r>
          </w:p>
        </w:tc>
      </w:tr>
      <w:tr w14:paraId="0B8639F0">
        <w:tblPrEx>
          <w:tblCellMar>
            <w:top w:w="0" w:type="dxa"/>
            <w:left w:w="108" w:type="dxa"/>
            <w:bottom w:w="0" w:type="dxa"/>
            <w:right w:w="108" w:type="dxa"/>
          </w:tblCellMar>
        </w:tblPrEx>
        <w:trPr>
          <w:trHeight w:val="1125"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70D1">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1</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35EF">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电瓶车充电桩</w:t>
            </w:r>
          </w:p>
        </w:tc>
        <w:tc>
          <w:tcPr>
            <w:tcW w:w="853" w:type="pct"/>
            <w:tcBorders>
              <w:top w:val="single" w:color="000000" w:sz="4" w:space="0"/>
              <w:left w:val="single" w:color="000000" w:sz="4" w:space="0"/>
              <w:bottom w:val="single" w:color="000000" w:sz="4" w:space="0"/>
              <w:right w:val="single" w:color="000000" w:sz="4" w:space="0"/>
            </w:tcBorders>
            <w:vAlign w:val="center"/>
          </w:tcPr>
          <w:p w14:paraId="1B1AB1AD">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w:t>
            </w:r>
            <w:r>
              <w:rPr>
                <w:rFonts w:hint="eastAsia" w:ascii="宋体" w:hAnsi="宋体" w:eastAsia="宋体" w:cs="宋体"/>
                <w:color w:val="000000"/>
                <w:szCs w:val="21"/>
                <w:lang w:val="en-US" w:eastAsia="zh-CN"/>
              </w:rPr>
              <w:t>.8元/度（按基础电费单价×实际用电量结算）</w:t>
            </w:r>
          </w:p>
        </w:tc>
        <w:tc>
          <w:tcPr>
            <w:tcW w:w="1534" w:type="pct"/>
            <w:tcBorders>
              <w:top w:val="single" w:color="000000" w:sz="4" w:space="0"/>
              <w:left w:val="single" w:color="000000" w:sz="4" w:space="0"/>
              <w:bottom w:val="single" w:color="000000" w:sz="4" w:space="0"/>
              <w:right w:val="single" w:color="000000" w:sz="4" w:space="0"/>
            </w:tcBorders>
            <w:vAlign w:val="center"/>
          </w:tcPr>
          <w:p w14:paraId="6A1EED79">
            <w:pPr>
              <w:widowControl/>
              <w:spacing w:line="276" w:lineRule="auto"/>
              <w:jc w:val="center"/>
              <w:textAlignment w:val="center"/>
              <w:rPr>
                <w:rFonts w:hint="eastAsia" w:ascii="宋体" w:hAnsi="宋体" w:eastAsia="宋体" w:cs="宋体"/>
                <w:color w:val="000000"/>
                <w:szCs w:val="21"/>
                <w:lang w:eastAsia="zh-CN"/>
              </w:rPr>
            </w:pPr>
          </w:p>
        </w:tc>
        <w:tc>
          <w:tcPr>
            <w:tcW w:w="1304" w:type="pct"/>
            <w:tcBorders>
              <w:top w:val="single" w:color="000000" w:sz="4" w:space="0"/>
              <w:left w:val="single" w:color="000000" w:sz="4" w:space="0"/>
              <w:bottom w:val="single" w:color="000000" w:sz="4" w:space="0"/>
              <w:right w:val="single" w:color="000000" w:sz="4" w:space="0"/>
            </w:tcBorders>
            <w:vAlign w:val="center"/>
          </w:tcPr>
          <w:p w14:paraId="3F892611">
            <w:pPr>
              <w:widowControl/>
              <w:spacing w:line="276" w:lineRule="auto"/>
              <w:jc w:val="lef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基础电费（院方与国家电网结算）单价：0.8元/度；</w:t>
            </w:r>
          </w:p>
        </w:tc>
      </w:tr>
      <w:tr w14:paraId="68B44124">
        <w:tblPrEx>
          <w:tblCellMar>
            <w:top w:w="0" w:type="dxa"/>
            <w:left w:w="108" w:type="dxa"/>
            <w:bottom w:w="0" w:type="dxa"/>
            <w:right w:w="108" w:type="dxa"/>
          </w:tblCellMar>
        </w:tblPrEx>
        <w:trPr>
          <w:trHeight w:val="540"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4D81C">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val="en-US" w:eastAsia="zh-CN" w:bidi="ar"/>
              </w:rPr>
              <w:t>2</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3B277">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电动汽车充电桩</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5BE4F">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r>
              <w:rPr>
                <w:rFonts w:hint="eastAsia" w:ascii="宋体" w:hAnsi="宋体" w:eastAsia="宋体" w:cs="宋体"/>
                <w:color w:val="000000"/>
                <w:szCs w:val="21"/>
                <w:lang w:val="en-US" w:eastAsia="zh-CN"/>
              </w:rPr>
              <w:t>.8元/度（按基础电费单价×实际用电量结算）</w:t>
            </w:r>
          </w:p>
        </w:tc>
        <w:tc>
          <w:tcPr>
            <w:tcW w:w="1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2CF43">
            <w:pPr>
              <w:widowControl/>
              <w:spacing w:line="276" w:lineRule="auto"/>
              <w:jc w:val="center"/>
              <w:textAlignment w:val="center"/>
              <w:rPr>
                <w:rFonts w:hint="eastAsia" w:ascii="宋体" w:hAnsi="宋体" w:cs="宋体"/>
                <w:color w:val="000000"/>
                <w:szCs w:val="21"/>
              </w:rPr>
            </w:pPr>
          </w:p>
        </w:tc>
        <w:tc>
          <w:tcPr>
            <w:tcW w:w="13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63321">
            <w:pPr>
              <w:widowControl/>
              <w:spacing w:line="276" w:lineRule="auto"/>
              <w:jc w:val="lef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基础电费（院方与国家电网结算）单价：0.8元/度；</w:t>
            </w:r>
          </w:p>
        </w:tc>
      </w:tr>
    </w:tbl>
    <w:p w14:paraId="277C14A2">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highlight w:val="none"/>
        </w:rPr>
        <w:t>最高限价</w:t>
      </w:r>
      <w:r>
        <w:rPr>
          <w:rFonts w:hint="eastAsia"/>
          <w:highlight w:val="none"/>
          <w:lang w:eastAsia="zh-CN"/>
        </w:rPr>
        <w:t>（</w:t>
      </w:r>
      <w:r>
        <w:rPr>
          <w:rFonts w:hint="eastAsia"/>
          <w:highlight w:val="none"/>
          <w:lang w:val="en-US" w:eastAsia="zh-CN"/>
        </w:rPr>
        <w:t>无峰谷价</w:t>
      </w:r>
      <w:r>
        <w:rPr>
          <w:rFonts w:hint="eastAsia"/>
          <w:highlight w:val="none"/>
          <w:lang w:eastAsia="zh-CN"/>
        </w:rPr>
        <w:t>）</w:t>
      </w:r>
      <w:r>
        <w:rPr>
          <w:rFonts w:hint="eastAsia"/>
          <w:highlight w:val="none"/>
        </w:rPr>
        <w:t>：</w:t>
      </w:r>
      <w:r>
        <w:rPr>
          <w:rFonts w:hint="eastAsia" w:ascii="Times New Roman" w:hAnsi="Times New Roman"/>
          <w:sz w:val="24"/>
          <w:highlight w:val="none"/>
          <w:lang w:val="en-US" w:eastAsia="zh-CN"/>
        </w:rPr>
        <w:t>电瓶车向社会收取充电费限价</w:t>
      </w:r>
      <w:r>
        <w:rPr>
          <w:rFonts w:hint="eastAsia" w:ascii="Times New Roman" w:hAnsi="Times New Roman" w:cs="Times New Roman"/>
          <w:sz w:val="24"/>
          <w:highlight w:val="none"/>
          <w:lang w:val="en-US" w:eastAsia="zh-CN"/>
        </w:rPr>
        <w:t>按1元/4小时，2元/充满的价格；电动汽车向社会收取充电费限价按1.2元/度的价格；</w:t>
      </w:r>
    </w:p>
    <w:p w14:paraId="77A9A60B">
      <w:pPr>
        <w:pStyle w:val="40"/>
        <w:rPr>
          <w:rFonts w:hint="eastAsia"/>
          <w:highlight w:val="none"/>
        </w:rPr>
      </w:pPr>
      <w:r>
        <w:rPr>
          <w:rFonts w:hint="eastAsia"/>
          <w:highlight w:val="none"/>
        </w:rPr>
        <w:t>2、</w:t>
      </w:r>
      <w:r>
        <w:rPr>
          <w:rFonts w:hint="eastAsia"/>
          <w:highlight w:val="none"/>
          <w:lang w:val="en-US" w:eastAsia="zh-CN"/>
        </w:rPr>
        <w:t>院方向投标方收取两部分费用，分别是基础电费（基础电费单价×实际用电量）和扣除基础电费外的充电服务费，投标方需根据以上情况综合考量进行报价；</w:t>
      </w:r>
    </w:p>
    <w:p w14:paraId="61FC01BA">
      <w:pPr>
        <w:pStyle w:val="40"/>
        <w:rPr>
          <w:highlight w:val="none"/>
          <w:lang w:eastAsia="zh-CN"/>
        </w:rPr>
      </w:pPr>
      <w:r>
        <w:rPr>
          <w:rFonts w:hint="eastAsia"/>
          <w:highlight w:val="none"/>
          <w:lang w:val="en-US" w:eastAsia="zh-CN"/>
        </w:rPr>
        <w:t>3、</w:t>
      </w:r>
      <w:r>
        <w:rPr>
          <w:rFonts w:hint="eastAsia"/>
          <w:highlight w:val="none"/>
        </w:rPr>
        <w:t>投标报价包括产品货款、人工费、材料费、运输费、装卸费、安装费、管理费、利润、规费、税金、政策性文件规定及合同包含的所有风险责任等完成本项目的所有费用。</w:t>
      </w:r>
    </w:p>
    <w:p w14:paraId="69AACC38">
      <w:pPr>
        <w:pStyle w:val="4"/>
      </w:pPr>
    </w:p>
    <w:p w14:paraId="32F3FBDF">
      <w:pPr>
        <w:pStyle w:val="4"/>
        <w:jc w:val="both"/>
      </w:pPr>
    </w:p>
    <w:p w14:paraId="4B21B4A6">
      <w:pPr>
        <w:pStyle w:val="4"/>
      </w:pPr>
    </w:p>
    <w:p w14:paraId="53B20676"/>
    <w:p w14:paraId="57666175">
      <w:pPr>
        <w:pStyle w:val="4"/>
        <w:jc w:val="center"/>
      </w:pPr>
    </w:p>
    <w:bookmarkEnd w:id="6"/>
    <w:bookmarkEnd w:id="10"/>
    <w:p w14:paraId="1AF2A56E">
      <w:pPr>
        <w:pStyle w:val="17"/>
        <w:adjustRightInd w:val="0"/>
        <w:snapToGrid w:val="0"/>
        <w:spacing w:after="0" w:line="360" w:lineRule="auto"/>
        <w:ind w:left="0" w:leftChars="0" w:firstLine="480" w:firstLineChars="200"/>
        <w:rPr>
          <w:sz w:val="24"/>
          <w:szCs w:val="24"/>
        </w:rPr>
      </w:pPr>
    </w:p>
    <w:p w14:paraId="3460EEB9">
      <w:pPr>
        <w:pStyle w:val="4"/>
        <w:jc w:val="center"/>
        <w:rPr>
          <w:rFonts w:hint="eastAsia"/>
        </w:rP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3" w:name="_Toc345320402"/>
      <w:bookmarkStart w:id="14" w:name="_Toc118516218"/>
      <w:bookmarkStart w:id="15" w:name="_Toc171394922"/>
      <w:r>
        <w:rPr>
          <w:rFonts w:hint="eastAsia"/>
          <w:b/>
          <w:bCs/>
          <w:color w:val="000000"/>
          <w:sz w:val="24"/>
          <w:szCs w:val="24"/>
        </w:rPr>
        <w:t>1、</w:t>
      </w:r>
      <w:r>
        <w:rPr>
          <w:b/>
          <w:bCs/>
          <w:color w:val="000000"/>
          <w:sz w:val="24"/>
          <w:szCs w:val="24"/>
        </w:rPr>
        <w:t>商务技术分</w:t>
      </w:r>
      <w:bookmarkEnd w:id="13"/>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6"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cs="Times New Roman"/>
                <w:szCs w:val="21"/>
                <w:lang w:val="en-US" w:eastAsia="zh-CN"/>
              </w:rPr>
              <w:t>管理</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管理</w:t>
            </w:r>
            <w:r>
              <w:rPr>
                <w:rFonts w:hint="default" w:ascii="Times New Roman" w:hAnsi="Times New Roman" w:cs="Times New Roman"/>
              </w:rPr>
              <w:t>方案</w:t>
            </w:r>
            <w:r>
              <w:rPr>
                <w:rFonts w:hint="eastAsia" w:cs="Times New Roman"/>
                <w:lang w:eastAsia="zh-CN"/>
              </w:rPr>
              <w:t>，</w:t>
            </w:r>
            <w:r>
              <w:rPr>
                <w:rFonts w:hint="default" w:ascii="Times New Roman" w:hAnsi="Times New Roman" w:cs="Times New Roman"/>
              </w:rPr>
              <w:t>包括投诉处理解决方案</w:t>
            </w:r>
            <w:r>
              <w:rPr>
                <w:rFonts w:hint="eastAsia" w:cs="Times New Roman"/>
                <w:lang w:eastAsia="zh-CN"/>
              </w:rPr>
              <w:t>、安全事故处理解决方案</w:t>
            </w:r>
            <w:r>
              <w:rPr>
                <w:rFonts w:hint="default" w:ascii="Times New Roman" w:hAnsi="Times New Roman" w:cs="Times New Roman"/>
              </w:rPr>
              <w:t>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1-20</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1-20</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92B0EC4">
            <w:pPr>
              <w:widowControl/>
              <w:snapToGrid w:val="0"/>
              <w:jc w:val="left"/>
              <w:rPr>
                <w:rFonts w:hint="default" w:ascii="Times New Roman" w:hAnsi="Times New Roman" w:eastAsia="宋体" w:cs="Times New Roman"/>
                <w:bCs/>
                <w:snapToGrid/>
                <w:kern w:val="2"/>
                <w:sz w:val="24"/>
                <w:szCs w:val="21"/>
                <w:lang w:val="en-US" w:eastAsia="zh-CN" w:bidi="ar-SA"/>
              </w:rPr>
            </w:pPr>
            <w:r>
              <w:rPr>
                <w:rFonts w:hint="eastAsia" w:ascii="Times New Roman" w:hAnsi="Times New Roman" w:cs="Times New Roman"/>
                <w:szCs w:val="21"/>
                <w:lang w:val="en-US" w:eastAsia="zh-CN"/>
              </w:rPr>
              <w:t>安装方案</w:t>
            </w:r>
          </w:p>
        </w:tc>
        <w:tc>
          <w:tcPr>
            <w:tcW w:w="6385" w:type="dxa"/>
            <w:tcBorders>
              <w:tl2br w:val="nil"/>
              <w:tr2bl w:val="nil"/>
            </w:tcBorders>
            <w:shd w:val="clear" w:color="auto" w:fill="auto"/>
            <w:noWrap/>
            <w:vAlign w:val="center"/>
          </w:tcPr>
          <w:p w14:paraId="03E26E4B">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根据投标人提供的针对本项目的安装方案，包括充电设备的产品安全说明、设备安装的安全解决方案等，得1-10分。</w:t>
            </w:r>
          </w:p>
        </w:tc>
        <w:tc>
          <w:tcPr>
            <w:tcW w:w="1001" w:type="dxa"/>
            <w:tcBorders>
              <w:tl2br w:val="nil"/>
              <w:tr2bl w:val="nil"/>
            </w:tcBorders>
            <w:noWrap/>
            <w:vAlign w:val="center"/>
          </w:tcPr>
          <w:p w14:paraId="20ADD4BE">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1-10分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34153BEA">
            <w:pPr>
              <w:snapToGrid w:val="0"/>
              <w:jc w:val="left"/>
              <w:rPr>
                <w:rFonts w:hint="default" w:ascii="Times New Roman" w:hAnsi="Times New Roman" w:eastAsia="宋体" w:cs="Times New Roman"/>
                <w:snapToGrid/>
                <w:kern w:val="2"/>
                <w:sz w:val="21"/>
                <w:szCs w:val="21"/>
                <w:lang w:val="en-US" w:eastAsia="zh-CN" w:bidi="ar-SA"/>
              </w:rPr>
            </w:pPr>
            <w:r>
              <w:rPr>
                <w:rFonts w:hint="eastAsia" w:ascii="Times New Roman" w:hAnsi="Times New Roman" w:cs="Times New Roman"/>
                <w:szCs w:val="21"/>
                <w:lang w:val="en-US" w:eastAsia="zh-CN"/>
              </w:rPr>
              <w:t>维保方案</w:t>
            </w:r>
          </w:p>
        </w:tc>
        <w:tc>
          <w:tcPr>
            <w:tcW w:w="6385" w:type="dxa"/>
            <w:tcBorders>
              <w:tl2br w:val="nil"/>
              <w:tr2bl w:val="nil"/>
            </w:tcBorders>
            <w:shd w:val="clear" w:color="auto" w:fill="auto"/>
            <w:noWrap/>
            <w:vAlign w:val="center"/>
          </w:tcPr>
          <w:p w14:paraId="2DA84804">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根据投标人提供的针对本项目的维保方案，包括</w:t>
            </w:r>
            <w:r>
              <w:rPr>
                <w:rFonts w:hint="eastAsia" w:cs="Times New Roman"/>
                <w:lang w:val="en-US" w:eastAsia="zh-CN"/>
              </w:rPr>
              <w:t>定期巡检、应急响应、日常维护和故障维修方案、设备检查和运行频次等，</w:t>
            </w:r>
            <w:r>
              <w:rPr>
                <w:rFonts w:hint="eastAsia" w:cs="Times New Roman"/>
                <w:szCs w:val="21"/>
                <w:lang w:val="en-US" w:eastAsia="zh-CN"/>
              </w:rPr>
              <w:t>得1-10分。</w:t>
            </w:r>
          </w:p>
        </w:tc>
        <w:tc>
          <w:tcPr>
            <w:tcW w:w="1001" w:type="dxa"/>
            <w:tcBorders>
              <w:tl2br w:val="nil"/>
              <w:tr2bl w:val="nil"/>
            </w:tcBorders>
            <w:shd w:val="clear" w:color="auto" w:fill="auto"/>
            <w:noWrap/>
            <w:vAlign w:val="center"/>
          </w:tcPr>
          <w:p w14:paraId="2BDF8A49">
            <w:pPr>
              <w:snapToGrid w:val="0"/>
              <w:jc w:val="center"/>
              <w:rPr>
                <w:rFonts w:hint="default" w:ascii="Times New Roman" w:hAnsi="Times New Roman" w:eastAsia="宋体" w:cs="Times New Roman"/>
                <w:snapToGrid w:val="0"/>
                <w:sz w:val="21"/>
                <w:szCs w:val="21"/>
                <w:lang w:val="en-US" w:eastAsia="zh-CN" w:bidi="ar-SA"/>
              </w:rPr>
            </w:pPr>
            <w:r>
              <w:rPr>
                <w:rFonts w:hint="default" w:ascii="Times New Roman" w:hAnsi="Times New Roman" w:cs="Times New Roman"/>
                <w:szCs w:val="21"/>
              </w:rPr>
              <w:t>1-</w:t>
            </w:r>
            <w:r>
              <w:rPr>
                <w:rFonts w:hint="eastAsia" w:cs="Times New Roman"/>
                <w:szCs w:val="21"/>
                <w:lang w:val="en-US" w:eastAsia="zh-CN"/>
              </w:rPr>
              <w:t>10</w:t>
            </w:r>
            <w:r>
              <w:rPr>
                <w:rFonts w:hint="default" w:ascii="Times New Roman" w:hAnsi="Times New Roman" w:cs="Times New Roman"/>
                <w:szCs w:val="21"/>
              </w:rPr>
              <w:t>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A44B3E7">
            <w:pPr>
              <w:pStyle w:val="148"/>
              <w:snapToGrid w:val="0"/>
              <w:spacing w:line="240" w:lineRule="auto"/>
              <w:jc w:val="both"/>
              <w:rPr>
                <w:rFonts w:hint="eastAsia" w:ascii="Times New Roman" w:hAnsi="Times New Roman" w:eastAsia="宋体" w:cs="Times New Roman"/>
                <w:snapToGrid/>
                <w:kern w:val="2"/>
                <w:sz w:val="21"/>
                <w:szCs w:val="21"/>
                <w:lang w:val="en-US" w:eastAsia="zh-CN" w:bidi="ar-SA"/>
              </w:rPr>
            </w:pPr>
            <w:r>
              <w:rPr>
                <w:rFonts w:hint="eastAsia" w:cs="Times New Roman"/>
                <w:sz w:val="21"/>
                <w:szCs w:val="21"/>
                <w:lang w:val="en-US" w:eastAsia="zh-CN"/>
              </w:rPr>
              <w:t>优惠措施</w:t>
            </w:r>
          </w:p>
        </w:tc>
        <w:tc>
          <w:tcPr>
            <w:tcW w:w="6385" w:type="dxa"/>
            <w:tcBorders>
              <w:tl2br w:val="nil"/>
              <w:tr2bl w:val="nil"/>
            </w:tcBorders>
            <w:shd w:val="clear" w:color="auto" w:fill="auto"/>
            <w:noWrap/>
            <w:vAlign w:val="center"/>
          </w:tcPr>
          <w:p w14:paraId="5BCA626A">
            <w:pPr>
              <w:widowControl/>
              <w:snapToGrid w:val="0"/>
              <w:jc w:val="left"/>
              <w:rPr>
                <w:rFonts w:hint="default"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根据投标人提供的针对本项目的优惠措施，包括优惠条件和增值服务等，得1-5分。</w:t>
            </w:r>
          </w:p>
        </w:tc>
        <w:tc>
          <w:tcPr>
            <w:tcW w:w="1001" w:type="dxa"/>
            <w:tcBorders>
              <w:tl2br w:val="nil"/>
              <w:tr2bl w:val="nil"/>
            </w:tcBorders>
            <w:shd w:val="clear" w:color="auto" w:fill="auto"/>
            <w:noWrap/>
            <w:vAlign w:val="center"/>
          </w:tcPr>
          <w:p w14:paraId="1018E0A3">
            <w:pPr>
              <w:snapToGrid w:val="0"/>
              <w:jc w:val="center"/>
              <w:rPr>
                <w:rFonts w:hint="default"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1-5分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w:t>
      </w:r>
      <w:r>
        <w:rPr>
          <w:rFonts w:hint="eastAsia"/>
          <w:b/>
          <w:sz w:val="24"/>
          <w:szCs w:val="24"/>
        </w:rPr>
        <w:t>0分）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30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30</w:t>
      </w:r>
      <w:r>
        <w:rPr>
          <w:sz w:val="24"/>
          <w:szCs w:val="24"/>
        </w:rPr>
        <w:t>%×100</w:t>
      </w:r>
    </w:p>
    <w:bookmarkEnd w:id="16"/>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4"/>
    <w:bookmarkEnd w:id="15"/>
    <w:p w14:paraId="242EDBD5">
      <w:pPr>
        <w:pStyle w:val="4"/>
      </w:pPr>
      <w:bookmarkStart w:id="17" w:name="_Toc211745569"/>
      <w:bookmarkStart w:id="18" w:name="_Toc82338245"/>
      <w:bookmarkStart w:id="19" w:name="_Toc495317672"/>
      <w:bookmarkStart w:id="20" w:name="_Toc82873328"/>
      <w:r>
        <w:br w:type="page"/>
      </w:r>
      <w:r>
        <w:t>第四章 采购</w:t>
      </w:r>
      <w:bookmarkEnd w:id="17"/>
      <w:bookmarkEnd w:id="18"/>
      <w:bookmarkEnd w:id="19"/>
      <w:bookmarkEnd w:id="20"/>
      <w:r>
        <w:t>合同主要条款</w:t>
      </w:r>
    </w:p>
    <w:p w14:paraId="34B438DF">
      <w:pPr>
        <w:pStyle w:val="2"/>
        <w:snapToGrid w:val="0"/>
        <w:spacing w:line="360" w:lineRule="auto"/>
        <w:ind w:right="1413" w:rightChars="673"/>
        <w:jc w:val="right"/>
        <w:rPr>
          <w:rFonts w:ascii="Times New Roman" w:hAnsi="Times New Roman"/>
          <w:sz w:val="24"/>
          <w:szCs w:val="24"/>
        </w:rPr>
      </w:pPr>
      <w:bookmarkStart w:id="21" w:name="_Toc336683578"/>
      <w:bookmarkStart w:id="22" w:name="_Toc437953149"/>
      <w:bookmarkStart w:id="23"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浙江省人民医院</w:t>
      </w:r>
      <w:r>
        <w:rPr>
          <w:rFonts w:hint="eastAsia"/>
          <w:sz w:val="24"/>
          <w:shd w:val="clear" w:color="auto" w:fill="FFFFFF"/>
          <w:lang w:val="en-US" w:eastAsia="zh-CN" w:bidi="ar"/>
        </w:rPr>
        <w:t>富阳院区电瓶车和电动汽车充电桩合作招商项目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5"/>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按照磋商文件中的相关服务要求</w:t>
      </w:r>
      <w:r>
        <w:rPr>
          <w:rFonts w:hint="eastAsia"/>
          <w:b/>
          <w:bCs/>
          <w:lang w:val="en-US" w:eastAsia="zh-CN"/>
        </w:rPr>
        <w:t>。</w:t>
      </w:r>
    </w:p>
    <w:p w14:paraId="410A1481">
      <w:pPr>
        <w:pStyle w:val="40"/>
        <w:ind w:firstLine="0" w:firstLineChars="0"/>
        <w:rPr>
          <w:rFonts w:hint="eastAsia"/>
          <w:b/>
          <w:bCs/>
        </w:rPr>
      </w:pPr>
      <w:r>
        <w:rPr>
          <w:rFonts w:hint="eastAsia"/>
          <w:b/>
          <w:bCs/>
        </w:rPr>
        <w:t>四、</w:t>
      </w:r>
      <w:r>
        <w:rPr>
          <w:rFonts w:hint="eastAsia"/>
          <w:b/>
          <w:bCs/>
          <w:lang w:val="en-US" w:eastAsia="zh-CN"/>
        </w:rPr>
        <w:t>工期</w:t>
      </w:r>
      <w:r>
        <w:rPr>
          <w:rFonts w:hint="eastAsia"/>
          <w:b/>
          <w:bCs/>
        </w:rPr>
        <w:t xml:space="preserve"> </w:t>
      </w:r>
    </w:p>
    <w:p w14:paraId="3AC17F24">
      <w:pPr>
        <w:pStyle w:val="40"/>
        <w:rPr>
          <w:rFonts w:hint="eastAsia"/>
        </w:rPr>
      </w:pPr>
      <w:r>
        <w:rPr>
          <w:rFonts w:hint="eastAsia"/>
          <w:highlight w:val="none"/>
        </w:rPr>
        <w:t>本</w:t>
      </w:r>
      <w:r>
        <w:rPr>
          <w:rFonts w:hint="eastAsia"/>
          <w:highlight w:val="none"/>
          <w:lang w:val="en-US" w:eastAsia="zh-CN"/>
        </w:rPr>
        <w:t>项目服务期</w:t>
      </w:r>
      <w:r>
        <w:rPr>
          <w:rFonts w:hint="eastAsia"/>
          <w:highlight w:val="none"/>
        </w:rPr>
        <w:t>为</w:t>
      </w:r>
      <w:r>
        <w:rPr>
          <w:rFonts w:hint="eastAsia"/>
          <w:highlight w:val="none"/>
          <w:lang w:val="en-US" w:eastAsia="zh-CN"/>
        </w:rPr>
        <w:t xml:space="preserve">   日</w:t>
      </w:r>
      <w:r>
        <w:rPr>
          <w:rFonts w:hint="eastAsia"/>
          <w:highlight w:val="none"/>
        </w:rPr>
        <w:t>，</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2"/>
        <w:snapToGrid w:val="0"/>
        <w:spacing w:line="360" w:lineRule="auto"/>
        <w:rPr>
          <w:rFonts w:ascii="Times New Roman" w:hAnsi="Times New Roman"/>
          <w:szCs w:val="21"/>
        </w:rPr>
      </w:pPr>
      <w:r>
        <w:rPr>
          <w:rFonts w:ascii="Times New Roman" w:hAnsi="Times New Roman"/>
          <w:szCs w:val="21"/>
        </w:rPr>
        <w:br w:type="page"/>
      </w:r>
    </w:p>
    <w:p w14:paraId="2234F56B">
      <w:pPr>
        <w:pStyle w:val="3"/>
        <w:ind w:left="5250"/>
      </w:pPr>
    </w:p>
    <w:p w14:paraId="64B7CB48">
      <w:pPr>
        <w:pStyle w:val="4"/>
      </w:pPr>
      <w:r>
        <w:t>第五章</w:t>
      </w:r>
      <w:r>
        <w:rPr>
          <w:rFonts w:hint="eastAsia"/>
        </w:rPr>
        <w:t xml:space="preserve"> </w:t>
      </w:r>
      <w:r>
        <w:t>响应文件格式</w:t>
      </w:r>
    </w:p>
    <w:bookmarkEnd w:id="21"/>
    <w:bookmarkEnd w:id="22"/>
    <w:bookmarkEnd w:id="23"/>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5"/>
        <w:ind w:firstLine="480"/>
        <w:rPr>
          <w:rFonts w:ascii="Times New Roman" w:hAnsi="Times New Roman" w:cs="Times New Roman"/>
        </w:rPr>
      </w:pPr>
      <w:bookmarkStart w:id="24" w:name="_Toc390342487"/>
      <w:bookmarkStart w:id="25" w:name="_Toc396290683"/>
      <w:bookmarkStart w:id="26" w:name="_Toc169"/>
      <w:bookmarkStart w:id="27" w:name="_Toc415814146"/>
      <w:bookmarkStart w:id="28" w:name="_Toc368993656"/>
      <w:bookmarkStart w:id="29" w:name="_Toc372127740"/>
      <w:bookmarkStart w:id="30" w:name="_Toc404172372"/>
      <w:bookmarkStart w:id="31" w:name="_Toc402432104"/>
      <w:bookmarkStart w:id="32" w:name="_Toc385596607"/>
      <w:bookmarkStart w:id="33" w:name="_Toc450199111"/>
      <w:r>
        <w:rPr>
          <w:rFonts w:ascii="Times New Roman" w:hAnsi="Times New Roman" w:cs="Times New Roman"/>
        </w:rPr>
        <w:t>一、磋商响应文件封面</w:t>
      </w:r>
      <w:bookmarkEnd w:id="24"/>
      <w:bookmarkEnd w:id="25"/>
      <w:bookmarkEnd w:id="26"/>
      <w:bookmarkEnd w:id="27"/>
      <w:bookmarkEnd w:id="28"/>
      <w:bookmarkEnd w:id="29"/>
      <w:bookmarkEnd w:id="30"/>
      <w:bookmarkEnd w:id="31"/>
      <w:bookmarkEnd w:id="32"/>
      <w:bookmarkEnd w:id="33"/>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5"/>
        <w:ind w:firstLine="480"/>
        <w:rPr>
          <w:rFonts w:ascii="Times New Roman" w:hAnsi="Times New Roman" w:cs="Times New Roman"/>
        </w:rPr>
      </w:pPr>
      <w:r>
        <w:rPr>
          <w:rFonts w:ascii="Times New Roman" w:hAnsi="Times New Roman" w:cs="Times New Roman"/>
        </w:rPr>
        <w:br w:type="page"/>
      </w:r>
      <w:bookmarkStart w:id="34" w:name="_Toc293401393"/>
      <w:bookmarkStart w:id="35" w:name="_Toc401423940"/>
      <w:bookmarkStart w:id="36" w:name="_Toc415814147"/>
      <w:bookmarkStart w:id="37" w:name="_Toc21615"/>
      <w:bookmarkStart w:id="38" w:name="_Toc450199112"/>
      <w:r>
        <w:rPr>
          <w:rFonts w:ascii="Times New Roman" w:hAnsi="Times New Roman" w:cs="Times New Roman"/>
        </w:rPr>
        <w:t>二、报价</w:t>
      </w:r>
      <w:bookmarkEnd w:id="34"/>
      <w:bookmarkEnd w:id="35"/>
      <w:bookmarkEnd w:id="36"/>
      <w:r>
        <w:rPr>
          <w:rFonts w:ascii="Times New Roman" w:hAnsi="Times New Roman" w:cs="Times New Roman"/>
        </w:rPr>
        <w:t>文件</w:t>
      </w:r>
      <w:bookmarkEnd w:id="37"/>
      <w:bookmarkEnd w:id="38"/>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2"/>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2"/>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2"/>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9" w:name="_Toc8574"/>
      <w:bookmarkStart w:id="40" w:name="_Toc312928677"/>
      <w:bookmarkStart w:id="41" w:name="_Toc415814148"/>
      <w:bookmarkStart w:id="42" w:name="_Toc401423941"/>
      <w:bookmarkStart w:id="43" w:name="_Toc450199113"/>
      <w:bookmarkStart w:id="44" w:name="_Toc293401394"/>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31"/>
        <w:tblW w:w="5982" w:type="pct"/>
        <w:jc w:val="center"/>
        <w:tblLayout w:type="fixed"/>
        <w:tblCellMar>
          <w:top w:w="0" w:type="dxa"/>
          <w:left w:w="108" w:type="dxa"/>
          <w:bottom w:w="0" w:type="dxa"/>
          <w:right w:w="108" w:type="dxa"/>
        </w:tblCellMar>
      </w:tblPr>
      <w:tblGrid>
        <w:gridCol w:w="834"/>
        <w:gridCol w:w="1834"/>
        <w:gridCol w:w="1740"/>
        <w:gridCol w:w="3129"/>
        <w:gridCol w:w="2660"/>
      </w:tblGrid>
      <w:tr w14:paraId="64D26A0A">
        <w:tblPrEx>
          <w:tblCellMar>
            <w:top w:w="0" w:type="dxa"/>
            <w:left w:w="108" w:type="dxa"/>
            <w:bottom w:w="0" w:type="dxa"/>
            <w:right w:w="108" w:type="dxa"/>
          </w:tblCellMar>
        </w:tblPrEx>
        <w:trPr>
          <w:trHeight w:val="540" w:hRule="atLeast"/>
          <w:jc w:val="center"/>
        </w:trPr>
        <w:tc>
          <w:tcPr>
            <w:tcW w:w="408" w:type="pct"/>
            <w:tcBorders>
              <w:top w:val="single" w:color="000000" w:sz="4" w:space="0"/>
              <w:left w:val="single" w:color="000000" w:sz="4" w:space="0"/>
              <w:bottom w:val="single" w:color="000000" w:sz="4" w:space="0"/>
              <w:right w:val="single" w:color="000000" w:sz="4" w:space="0"/>
            </w:tcBorders>
            <w:vAlign w:val="center"/>
          </w:tcPr>
          <w:p w14:paraId="17914262">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序号</w:t>
            </w:r>
          </w:p>
        </w:tc>
        <w:tc>
          <w:tcPr>
            <w:tcW w:w="899" w:type="pct"/>
            <w:tcBorders>
              <w:top w:val="single" w:color="000000" w:sz="4" w:space="0"/>
              <w:left w:val="single" w:color="000000" w:sz="4" w:space="0"/>
              <w:bottom w:val="single" w:color="000000" w:sz="4" w:space="0"/>
              <w:right w:val="single" w:color="000000" w:sz="4" w:space="0"/>
            </w:tcBorders>
            <w:vAlign w:val="center"/>
          </w:tcPr>
          <w:p w14:paraId="7B1BD138">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内容</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7465">
            <w:pPr>
              <w:widowControl/>
              <w:spacing w:line="276" w:lineRule="auto"/>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cs="宋体"/>
                <w:b/>
                <w:bCs/>
                <w:color w:val="000000"/>
                <w:szCs w:val="21"/>
                <w:lang w:val="en-US" w:eastAsia="zh-CN"/>
              </w:rPr>
              <w:t>基础电费</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3831">
            <w:pPr>
              <w:widowControl/>
              <w:spacing w:line="276" w:lineRule="auto"/>
              <w:jc w:val="center"/>
              <w:textAlignment w:val="center"/>
              <w:rPr>
                <w:rFonts w:hint="eastAsia" w:ascii="宋体" w:hAnsi="宋体" w:eastAsia="宋体" w:cs="宋体"/>
                <w:b/>
                <w:bCs/>
                <w:snapToGrid w:val="0"/>
                <w:color w:val="000000"/>
                <w:sz w:val="21"/>
                <w:szCs w:val="21"/>
                <w:lang w:val="en-US" w:eastAsia="zh-CN" w:bidi="ar-SA"/>
              </w:rPr>
            </w:pPr>
            <w:r>
              <w:rPr>
                <w:rFonts w:hint="eastAsia" w:ascii="宋体" w:hAnsi="宋体" w:cs="宋体"/>
                <w:b/>
                <w:bCs/>
                <w:snapToGrid w:val="0"/>
                <w:color w:val="000000"/>
                <w:sz w:val="21"/>
                <w:szCs w:val="21"/>
                <w:lang w:val="en-US" w:eastAsia="zh-CN" w:bidi="ar-SA"/>
              </w:rPr>
              <w:t>服务费折扣（扣除基础电费外）</w:t>
            </w:r>
          </w:p>
        </w:tc>
        <w:tc>
          <w:tcPr>
            <w:tcW w:w="1304" w:type="pct"/>
            <w:tcBorders>
              <w:top w:val="single" w:color="000000" w:sz="4" w:space="0"/>
              <w:left w:val="single" w:color="000000" w:sz="4" w:space="0"/>
              <w:bottom w:val="single" w:color="000000" w:sz="4" w:space="0"/>
              <w:right w:val="single" w:color="000000" w:sz="4" w:space="0"/>
            </w:tcBorders>
            <w:vAlign w:val="center"/>
          </w:tcPr>
          <w:p w14:paraId="297F8263">
            <w:pPr>
              <w:widowControl/>
              <w:spacing w:line="276" w:lineRule="auto"/>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备注</w:t>
            </w:r>
          </w:p>
        </w:tc>
      </w:tr>
      <w:tr w14:paraId="7D1D2E28">
        <w:tblPrEx>
          <w:tblCellMar>
            <w:top w:w="0" w:type="dxa"/>
            <w:left w:w="108" w:type="dxa"/>
            <w:bottom w:w="0" w:type="dxa"/>
            <w:right w:w="108" w:type="dxa"/>
          </w:tblCellMar>
        </w:tblPrEx>
        <w:trPr>
          <w:trHeight w:val="1125"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2187">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1</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1FE86">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电瓶车充电桩</w:t>
            </w:r>
          </w:p>
        </w:tc>
        <w:tc>
          <w:tcPr>
            <w:tcW w:w="853" w:type="pct"/>
            <w:tcBorders>
              <w:top w:val="single" w:color="000000" w:sz="4" w:space="0"/>
              <w:left w:val="single" w:color="000000" w:sz="4" w:space="0"/>
              <w:bottom w:val="single" w:color="000000" w:sz="4" w:space="0"/>
              <w:right w:val="single" w:color="000000" w:sz="4" w:space="0"/>
            </w:tcBorders>
            <w:vAlign w:val="center"/>
          </w:tcPr>
          <w:p w14:paraId="4E401523">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w:t>
            </w:r>
            <w:r>
              <w:rPr>
                <w:rFonts w:hint="eastAsia" w:ascii="宋体" w:hAnsi="宋体" w:eastAsia="宋体" w:cs="宋体"/>
                <w:color w:val="000000"/>
                <w:szCs w:val="21"/>
                <w:lang w:val="en-US" w:eastAsia="zh-CN"/>
              </w:rPr>
              <w:t>.8元/度（按基础电费单价×实际用电量结算）</w:t>
            </w:r>
          </w:p>
        </w:tc>
        <w:tc>
          <w:tcPr>
            <w:tcW w:w="1534" w:type="pct"/>
            <w:tcBorders>
              <w:top w:val="single" w:color="000000" w:sz="4" w:space="0"/>
              <w:left w:val="single" w:color="000000" w:sz="4" w:space="0"/>
              <w:bottom w:val="single" w:color="000000" w:sz="4" w:space="0"/>
              <w:right w:val="single" w:color="000000" w:sz="4" w:space="0"/>
            </w:tcBorders>
            <w:vAlign w:val="center"/>
          </w:tcPr>
          <w:p w14:paraId="6968EC21">
            <w:pPr>
              <w:widowControl/>
              <w:spacing w:line="276" w:lineRule="auto"/>
              <w:jc w:val="center"/>
              <w:textAlignment w:val="center"/>
              <w:rPr>
                <w:rFonts w:hint="eastAsia" w:ascii="宋体" w:hAnsi="宋体" w:eastAsia="宋体" w:cs="宋体"/>
                <w:color w:val="000000"/>
                <w:szCs w:val="21"/>
                <w:lang w:eastAsia="zh-CN"/>
              </w:rPr>
            </w:pPr>
          </w:p>
        </w:tc>
        <w:tc>
          <w:tcPr>
            <w:tcW w:w="1304" w:type="pct"/>
            <w:tcBorders>
              <w:top w:val="single" w:color="000000" w:sz="4" w:space="0"/>
              <w:left w:val="single" w:color="000000" w:sz="4" w:space="0"/>
              <w:bottom w:val="single" w:color="000000" w:sz="4" w:space="0"/>
              <w:right w:val="single" w:color="000000" w:sz="4" w:space="0"/>
            </w:tcBorders>
            <w:vAlign w:val="center"/>
          </w:tcPr>
          <w:p w14:paraId="50654905">
            <w:pPr>
              <w:widowControl/>
              <w:spacing w:line="276" w:lineRule="auto"/>
              <w:jc w:val="lef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基础电费（院方与国家电网结算）单价：0.8元/度；</w:t>
            </w:r>
          </w:p>
        </w:tc>
      </w:tr>
      <w:tr w14:paraId="49C02550">
        <w:tblPrEx>
          <w:tblCellMar>
            <w:top w:w="0" w:type="dxa"/>
            <w:left w:w="108" w:type="dxa"/>
            <w:bottom w:w="0" w:type="dxa"/>
            <w:right w:w="108" w:type="dxa"/>
          </w:tblCellMar>
        </w:tblPrEx>
        <w:trPr>
          <w:trHeight w:val="540"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F0B13">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val="en-US" w:eastAsia="zh-CN" w:bidi="ar"/>
              </w:rPr>
              <w:t>2</w:t>
            </w:r>
          </w:p>
        </w:tc>
        <w:tc>
          <w:tcPr>
            <w:tcW w:w="8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8552B">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电动汽车充电桩</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1D977">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r>
              <w:rPr>
                <w:rFonts w:hint="eastAsia" w:ascii="宋体" w:hAnsi="宋体" w:eastAsia="宋体" w:cs="宋体"/>
                <w:color w:val="000000"/>
                <w:szCs w:val="21"/>
                <w:lang w:val="en-US" w:eastAsia="zh-CN"/>
              </w:rPr>
              <w:t>.8元/度（按基础电费单价×实际用电量结算）</w:t>
            </w:r>
          </w:p>
        </w:tc>
        <w:tc>
          <w:tcPr>
            <w:tcW w:w="1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F5FFA">
            <w:pPr>
              <w:widowControl/>
              <w:spacing w:line="276" w:lineRule="auto"/>
              <w:jc w:val="center"/>
              <w:textAlignment w:val="center"/>
              <w:rPr>
                <w:rFonts w:hint="eastAsia" w:ascii="宋体" w:hAnsi="宋体" w:cs="宋体"/>
                <w:color w:val="000000"/>
                <w:szCs w:val="21"/>
              </w:rPr>
            </w:pPr>
          </w:p>
        </w:tc>
        <w:tc>
          <w:tcPr>
            <w:tcW w:w="13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B940A">
            <w:pPr>
              <w:widowControl/>
              <w:spacing w:line="276" w:lineRule="auto"/>
              <w:jc w:val="lef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基础电费（院方与国家电网结算）单价：0.8元/度；</w:t>
            </w:r>
          </w:p>
        </w:tc>
      </w:tr>
    </w:tbl>
    <w:p w14:paraId="1CE8FF35">
      <w:pPr>
        <w:pStyle w:val="40"/>
        <w:rPr>
          <w:rFonts w:hint="eastAsia"/>
          <w:highlight w:val="none"/>
        </w:rPr>
      </w:pPr>
      <w:r>
        <w:rPr>
          <w:rFonts w:hint="eastAsia"/>
          <w:highlight w:val="none"/>
          <w:lang w:val="en-US" w:eastAsia="zh-CN"/>
        </w:rPr>
        <w:t>注：</w:t>
      </w:r>
      <w:r>
        <w:rPr>
          <w:rFonts w:hint="eastAsia"/>
          <w:highlight w:val="none"/>
        </w:rPr>
        <w:t>1、</w:t>
      </w:r>
      <w:r>
        <w:rPr>
          <w:rFonts w:hint="eastAsia"/>
          <w:highlight w:val="none"/>
          <w:lang w:val="en-US" w:eastAsia="zh-CN"/>
        </w:rPr>
        <w:t>该项目</w:t>
      </w:r>
      <w:r>
        <w:rPr>
          <w:rFonts w:hint="eastAsia"/>
          <w:highlight w:val="none"/>
        </w:rPr>
        <w:t>最高限价</w:t>
      </w:r>
      <w:r>
        <w:rPr>
          <w:rFonts w:hint="eastAsia"/>
          <w:highlight w:val="none"/>
          <w:lang w:eastAsia="zh-CN"/>
        </w:rPr>
        <w:t>（</w:t>
      </w:r>
      <w:r>
        <w:rPr>
          <w:rFonts w:hint="eastAsia"/>
          <w:highlight w:val="none"/>
          <w:lang w:val="en-US" w:eastAsia="zh-CN"/>
        </w:rPr>
        <w:t>无峰谷价</w:t>
      </w:r>
      <w:r>
        <w:rPr>
          <w:rFonts w:hint="eastAsia"/>
          <w:highlight w:val="none"/>
          <w:lang w:eastAsia="zh-CN"/>
        </w:rPr>
        <w:t>）</w:t>
      </w:r>
      <w:r>
        <w:rPr>
          <w:rFonts w:hint="eastAsia"/>
          <w:highlight w:val="none"/>
        </w:rPr>
        <w:t>：</w:t>
      </w:r>
      <w:r>
        <w:rPr>
          <w:rFonts w:hint="eastAsia" w:ascii="Times New Roman" w:hAnsi="Times New Roman"/>
          <w:sz w:val="24"/>
          <w:highlight w:val="none"/>
          <w:lang w:val="en-US" w:eastAsia="zh-CN"/>
        </w:rPr>
        <w:t>电瓶车向社会收取充电费限价</w:t>
      </w:r>
      <w:r>
        <w:rPr>
          <w:rFonts w:hint="eastAsia" w:ascii="Times New Roman" w:hAnsi="Times New Roman" w:cs="Times New Roman"/>
          <w:sz w:val="24"/>
          <w:highlight w:val="none"/>
          <w:lang w:val="en-US" w:eastAsia="zh-CN"/>
        </w:rPr>
        <w:t>按1元/4小时，2元/充满的价格；电动汽车向社会收取充电费限价按1.2元/度的价格；</w:t>
      </w:r>
    </w:p>
    <w:p w14:paraId="2A944135">
      <w:pPr>
        <w:pStyle w:val="40"/>
        <w:rPr>
          <w:rFonts w:hint="eastAsia"/>
          <w:highlight w:val="none"/>
        </w:rPr>
      </w:pPr>
      <w:r>
        <w:rPr>
          <w:rFonts w:hint="eastAsia"/>
          <w:highlight w:val="none"/>
        </w:rPr>
        <w:t>2、</w:t>
      </w:r>
      <w:r>
        <w:rPr>
          <w:rFonts w:hint="eastAsia"/>
          <w:highlight w:val="none"/>
          <w:lang w:val="en-US" w:eastAsia="zh-CN"/>
        </w:rPr>
        <w:t>院方向投标方收取两部分费用，分别是基础电费（基础电费单价×实际用电量）和扣除基础电费外的充电服务费，投标方需根据以上情况综合考量进行报价；</w:t>
      </w:r>
    </w:p>
    <w:p w14:paraId="507CDE89">
      <w:pPr>
        <w:pStyle w:val="40"/>
        <w:rPr>
          <w:highlight w:val="none"/>
          <w:lang w:eastAsia="zh-CN"/>
        </w:rPr>
      </w:pPr>
      <w:r>
        <w:rPr>
          <w:rFonts w:hint="eastAsia"/>
          <w:highlight w:val="none"/>
          <w:lang w:val="en-US" w:eastAsia="zh-CN"/>
        </w:rPr>
        <w:t>3、</w:t>
      </w:r>
      <w:r>
        <w:rPr>
          <w:rFonts w:hint="eastAsia"/>
          <w:highlight w:val="none"/>
        </w:rPr>
        <w:t>投标报价包括产品货款、人工费、材料费、运输费、装卸费、安装费、管理费、利润、规费、税金、政策性文件规定及合同包含的所有风险责任等完成本项目的所有费用。</w:t>
      </w:r>
    </w:p>
    <w:p w14:paraId="30B6F762">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5"/>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2"/>
      </w:pPr>
    </w:p>
    <w:bookmarkEnd w:id="39"/>
    <w:bookmarkEnd w:id="40"/>
    <w:bookmarkEnd w:id="41"/>
    <w:bookmarkEnd w:id="42"/>
    <w:bookmarkEnd w:id="43"/>
    <w:bookmarkEnd w:id="44"/>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管理</w:t>
      </w:r>
      <w:r>
        <w:rPr>
          <w:rFonts w:hint="eastAsia" w:hAnsi="Times New Roman"/>
          <w:sz w:val="24"/>
          <w:szCs w:val="24"/>
        </w:rPr>
        <w:t>方案；</w:t>
      </w:r>
    </w:p>
    <w:p w14:paraId="4F01C149">
      <w:pPr>
        <w:pStyle w:val="29"/>
        <w:ind w:firstLine="0" w:firstLineChars="0"/>
        <w:rPr>
          <w:rFonts w:hAnsi="Times New Roman"/>
          <w:sz w:val="24"/>
          <w:szCs w:val="24"/>
        </w:rPr>
      </w:pPr>
      <w:r>
        <w:rPr>
          <w:rFonts w:hint="eastAsia" w:hAnsi="Times New Roman"/>
          <w:sz w:val="24"/>
          <w:szCs w:val="24"/>
        </w:rPr>
        <w:t>6、</w:t>
      </w:r>
      <w:r>
        <w:rPr>
          <w:rFonts w:hint="eastAsia" w:hAnsi="Times New Roman"/>
          <w:sz w:val="24"/>
          <w:szCs w:val="24"/>
          <w:lang w:val="en-US" w:eastAsia="zh-CN"/>
        </w:rPr>
        <w:t>安装</w:t>
      </w:r>
      <w:r>
        <w:rPr>
          <w:rFonts w:hint="eastAsia" w:hAnsi="Times New Roman"/>
          <w:sz w:val="24"/>
          <w:szCs w:val="24"/>
        </w:rPr>
        <w:t>方案；</w:t>
      </w:r>
    </w:p>
    <w:p w14:paraId="35780C42">
      <w:pPr>
        <w:pStyle w:val="29"/>
        <w:ind w:firstLine="0" w:firstLineChars="0"/>
        <w:rPr>
          <w:rFonts w:hint="default"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维保方案</w:t>
      </w:r>
    </w:p>
    <w:p w14:paraId="1160F30D">
      <w:pPr>
        <w:pStyle w:val="29"/>
        <w:ind w:firstLine="0" w:firstLineChars="0"/>
        <w:rPr>
          <w:rFonts w:hAnsi="Times New Roman"/>
          <w:sz w:val="24"/>
          <w:szCs w:val="24"/>
        </w:rPr>
      </w:pPr>
      <w:r>
        <w:rPr>
          <w:rFonts w:hint="eastAsia" w:hAnsi="Times New Roman"/>
          <w:sz w:val="24"/>
          <w:szCs w:val="24"/>
          <w:lang w:val="en-US" w:eastAsia="zh-CN"/>
        </w:rPr>
        <w:t>8、优惠措施</w:t>
      </w:r>
      <w:r>
        <w:rPr>
          <w:rFonts w:hint="eastAsia" w:hAnsi="Times New Roman"/>
          <w:sz w:val="24"/>
          <w:szCs w:val="24"/>
        </w:rPr>
        <w:t>；</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2"/>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2"/>
        <w:adjustRightInd w:val="0"/>
        <w:snapToGrid w:val="0"/>
        <w:spacing w:line="300" w:lineRule="auto"/>
        <w:ind w:firstLine="470" w:firstLineChars="196"/>
        <w:rPr>
          <w:rFonts w:ascii="Times New Roman" w:hAnsi="Times New Roman"/>
          <w:sz w:val="24"/>
          <w:szCs w:val="24"/>
        </w:rPr>
      </w:pPr>
    </w:p>
    <w:p w14:paraId="02F0AA1D">
      <w:pPr>
        <w:pStyle w:val="2"/>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2"/>
        <w:adjustRightInd w:val="0"/>
        <w:snapToGrid w:val="0"/>
        <w:spacing w:line="300" w:lineRule="auto"/>
        <w:ind w:firstLine="480"/>
        <w:rPr>
          <w:rFonts w:ascii="Times New Roman" w:hAnsi="Times New Roman"/>
          <w:sz w:val="24"/>
          <w:szCs w:val="24"/>
        </w:rPr>
      </w:pPr>
    </w:p>
    <w:p w14:paraId="58599271">
      <w:pPr>
        <w:pStyle w:val="2"/>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2"/>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2"/>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2"/>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2"/>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2"/>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2"/>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6A3108B6">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rPr>
        <w:t>4、类似业绩；</w:t>
      </w:r>
    </w:p>
    <w:p w14:paraId="3981FAE5">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rPr>
        <w:t>5、</w:t>
      </w:r>
      <w:r>
        <w:rPr>
          <w:rFonts w:hint="eastAsia" w:ascii="Times New Roman" w:hAnsi="Times New Roman" w:cs="Times New Roman"/>
          <w:b/>
          <w:bCs/>
          <w:sz w:val="24"/>
          <w:szCs w:val="24"/>
          <w:lang w:val="en-US" w:eastAsia="zh-CN"/>
        </w:rPr>
        <w:t>管理</w:t>
      </w:r>
      <w:r>
        <w:rPr>
          <w:rFonts w:hint="eastAsia" w:ascii="Times New Roman" w:hAnsi="Times New Roman" w:cs="Times New Roman"/>
          <w:b/>
          <w:bCs/>
          <w:sz w:val="24"/>
          <w:szCs w:val="24"/>
        </w:rPr>
        <w:t>方案；</w:t>
      </w:r>
    </w:p>
    <w:p w14:paraId="5E3E6F7D">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rPr>
        <w:t>6、</w:t>
      </w:r>
      <w:r>
        <w:rPr>
          <w:rFonts w:hint="eastAsia" w:ascii="Times New Roman" w:hAnsi="Times New Roman" w:cs="Times New Roman"/>
          <w:b/>
          <w:bCs/>
          <w:sz w:val="24"/>
          <w:szCs w:val="24"/>
          <w:lang w:val="en-US" w:eastAsia="zh-CN"/>
        </w:rPr>
        <w:t>安装</w:t>
      </w:r>
      <w:r>
        <w:rPr>
          <w:rFonts w:hint="eastAsia" w:ascii="Times New Roman" w:hAnsi="Times New Roman" w:cs="Times New Roman"/>
          <w:b/>
          <w:bCs/>
          <w:sz w:val="24"/>
          <w:szCs w:val="24"/>
        </w:rPr>
        <w:t>方案；</w:t>
      </w:r>
    </w:p>
    <w:p w14:paraId="7BEE4311">
      <w:pPr>
        <w:pStyle w:val="29"/>
        <w:ind w:firstLine="0" w:firstLineChars="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rPr>
        <w:t>7、</w:t>
      </w:r>
      <w:r>
        <w:rPr>
          <w:rFonts w:hint="eastAsia" w:ascii="Times New Roman" w:hAnsi="Times New Roman" w:cs="Times New Roman"/>
          <w:b/>
          <w:bCs/>
          <w:sz w:val="24"/>
          <w:szCs w:val="24"/>
          <w:lang w:val="en-US" w:eastAsia="zh-CN"/>
        </w:rPr>
        <w:t>维保方案</w:t>
      </w:r>
    </w:p>
    <w:p w14:paraId="23974354">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8、优惠措施</w:t>
      </w:r>
      <w:r>
        <w:rPr>
          <w:rFonts w:hint="eastAsia" w:ascii="Times New Roman" w:hAnsi="Times New Roman" w:cs="Times New Roman"/>
          <w:b/>
          <w:bCs/>
          <w:sz w:val="24"/>
          <w:szCs w:val="24"/>
        </w:rPr>
        <w:t>；</w:t>
      </w:r>
    </w:p>
    <w:p w14:paraId="0E9EA9E5">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、声明函；</w:t>
      </w:r>
    </w:p>
    <w:p w14:paraId="2CC6DD8E">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2"/>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F71E5D"/>
    <w:rsid w:val="0904681F"/>
    <w:rsid w:val="099224C2"/>
    <w:rsid w:val="0A931C4A"/>
    <w:rsid w:val="0B2473D6"/>
    <w:rsid w:val="0BC86219"/>
    <w:rsid w:val="0C2E6932"/>
    <w:rsid w:val="0C4204E5"/>
    <w:rsid w:val="0D20764D"/>
    <w:rsid w:val="0D6E3A97"/>
    <w:rsid w:val="0D8D05A5"/>
    <w:rsid w:val="0DA130B6"/>
    <w:rsid w:val="0DE44888"/>
    <w:rsid w:val="0E0A1667"/>
    <w:rsid w:val="0E6010CF"/>
    <w:rsid w:val="0E89358B"/>
    <w:rsid w:val="0F0F739C"/>
    <w:rsid w:val="0F611659"/>
    <w:rsid w:val="0FCA6DEB"/>
    <w:rsid w:val="10655CF3"/>
    <w:rsid w:val="10E700BF"/>
    <w:rsid w:val="11D70154"/>
    <w:rsid w:val="12160F3D"/>
    <w:rsid w:val="124F3295"/>
    <w:rsid w:val="126307C1"/>
    <w:rsid w:val="12942E23"/>
    <w:rsid w:val="13165211"/>
    <w:rsid w:val="149C34F4"/>
    <w:rsid w:val="14C66E85"/>
    <w:rsid w:val="14E804E4"/>
    <w:rsid w:val="16A17D2C"/>
    <w:rsid w:val="17097A94"/>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096ED2"/>
    <w:rsid w:val="21704E18"/>
    <w:rsid w:val="21BD09EA"/>
    <w:rsid w:val="23395957"/>
    <w:rsid w:val="248064B3"/>
    <w:rsid w:val="249E2CA0"/>
    <w:rsid w:val="252637D8"/>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B1C13B5"/>
    <w:rsid w:val="2CAB6572"/>
    <w:rsid w:val="2CDE209F"/>
    <w:rsid w:val="2D17784C"/>
    <w:rsid w:val="2D32663F"/>
    <w:rsid w:val="2DC51887"/>
    <w:rsid w:val="2F0033F9"/>
    <w:rsid w:val="2F8D4468"/>
    <w:rsid w:val="2FB34C91"/>
    <w:rsid w:val="30240B3A"/>
    <w:rsid w:val="306B115D"/>
    <w:rsid w:val="30CD568D"/>
    <w:rsid w:val="31350C4C"/>
    <w:rsid w:val="3192385D"/>
    <w:rsid w:val="34AA7FA1"/>
    <w:rsid w:val="35281E46"/>
    <w:rsid w:val="36CF347B"/>
    <w:rsid w:val="36DF19C3"/>
    <w:rsid w:val="37843695"/>
    <w:rsid w:val="38774730"/>
    <w:rsid w:val="38AC7189"/>
    <w:rsid w:val="38C27DC4"/>
    <w:rsid w:val="3A8F51E8"/>
    <w:rsid w:val="3A9C052D"/>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37546"/>
    <w:rsid w:val="478E5BF3"/>
    <w:rsid w:val="47993F84"/>
    <w:rsid w:val="47AA594C"/>
    <w:rsid w:val="47D01EDF"/>
    <w:rsid w:val="47E56601"/>
    <w:rsid w:val="47FD08B5"/>
    <w:rsid w:val="48C67A99"/>
    <w:rsid w:val="48DF77FA"/>
    <w:rsid w:val="4961356F"/>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48577C"/>
    <w:rsid w:val="5CA72F21"/>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83B4B"/>
    <w:rsid w:val="614960E5"/>
    <w:rsid w:val="63E17D6C"/>
    <w:rsid w:val="640430BC"/>
    <w:rsid w:val="640C0830"/>
    <w:rsid w:val="644E4B1D"/>
    <w:rsid w:val="654E3675"/>
    <w:rsid w:val="66495BDD"/>
    <w:rsid w:val="667873C1"/>
    <w:rsid w:val="67456D79"/>
    <w:rsid w:val="67BA5260"/>
    <w:rsid w:val="67E950BB"/>
    <w:rsid w:val="68064081"/>
    <w:rsid w:val="6812769E"/>
    <w:rsid w:val="683948AD"/>
    <w:rsid w:val="685427BA"/>
    <w:rsid w:val="687F5BE1"/>
    <w:rsid w:val="69753495"/>
    <w:rsid w:val="69F8234A"/>
    <w:rsid w:val="6A116D0D"/>
    <w:rsid w:val="6A120191"/>
    <w:rsid w:val="6A9F6BF0"/>
    <w:rsid w:val="6ACC2594"/>
    <w:rsid w:val="6C6945F1"/>
    <w:rsid w:val="6C6C10EA"/>
    <w:rsid w:val="6CF1659A"/>
    <w:rsid w:val="6D1B4B1E"/>
    <w:rsid w:val="6DB17ECF"/>
    <w:rsid w:val="6DED1766"/>
    <w:rsid w:val="6DF46045"/>
    <w:rsid w:val="6E0F357D"/>
    <w:rsid w:val="6E1E62BB"/>
    <w:rsid w:val="6E5F5FF7"/>
    <w:rsid w:val="6F4B2F52"/>
    <w:rsid w:val="6FCA1077"/>
    <w:rsid w:val="70411408"/>
    <w:rsid w:val="72565E22"/>
    <w:rsid w:val="735F2454"/>
    <w:rsid w:val="73A77042"/>
    <w:rsid w:val="73E50120"/>
    <w:rsid w:val="74C0081A"/>
    <w:rsid w:val="75137DDD"/>
    <w:rsid w:val="751500ED"/>
    <w:rsid w:val="756C780D"/>
    <w:rsid w:val="769E7DAB"/>
    <w:rsid w:val="775E4966"/>
    <w:rsid w:val="77DD57DA"/>
    <w:rsid w:val="785173F2"/>
    <w:rsid w:val="78913A5E"/>
    <w:rsid w:val="78B51753"/>
    <w:rsid w:val="79352EE7"/>
    <w:rsid w:val="7986140A"/>
    <w:rsid w:val="79EB0973"/>
    <w:rsid w:val="7C376D58"/>
    <w:rsid w:val="7C586356"/>
    <w:rsid w:val="7D00550F"/>
    <w:rsid w:val="7D1D5C9D"/>
    <w:rsid w:val="7D5052A6"/>
    <w:rsid w:val="7DC75C09"/>
    <w:rsid w:val="7E765088"/>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5">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6">
    <w:name w:val="heading 3"/>
    <w:basedOn w:val="5"/>
    <w:next w:val="1"/>
    <w:link w:val="132"/>
    <w:autoRedefine/>
    <w:qFormat/>
    <w:uiPriority w:val="9"/>
    <w:pPr>
      <w:outlineLvl w:val="2"/>
    </w:pPr>
  </w:style>
  <w:style w:type="paragraph" w:styleId="7">
    <w:name w:val="heading 4"/>
    <w:basedOn w:val="1"/>
    <w:next w:val="8"/>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41"/>
    <w:autoRedefine/>
    <w:qFormat/>
    <w:uiPriority w:val="99"/>
    <w:rPr>
      <w:rFonts w:ascii="宋体" w:hAnsi="Courier New"/>
      <w:snapToGrid/>
      <w:sz w:val="18"/>
    </w:rPr>
  </w:style>
  <w:style w:type="paragraph" w:styleId="3">
    <w:name w:val="Date"/>
    <w:basedOn w:val="1"/>
    <w:next w:val="1"/>
    <w:link w:val="149"/>
    <w:autoRedefine/>
    <w:qFormat/>
    <w:uiPriority w:val="0"/>
    <w:pPr>
      <w:ind w:left="2500" w:leftChars="2500"/>
    </w:pPr>
    <w:rPr>
      <w:rFonts w:hint="eastAsia" w:ascii="宋体" w:hAnsi="宋体"/>
      <w:snapToGrid/>
      <w:kern w:val="2"/>
      <w:sz w:val="24"/>
    </w:rPr>
  </w:style>
  <w:style w:type="paragraph" w:styleId="8">
    <w:name w:val="Normal Indent"/>
    <w:basedOn w:val="1"/>
    <w:link w:val="42"/>
    <w:autoRedefine/>
    <w:qFormat/>
    <w:uiPriority w:val="0"/>
    <w:pPr>
      <w:ind w:firstLine="420"/>
    </w:pPr>
    <w:rPr>
      <w:snapToGrid/>
      <w:kern w:val="2"/>
    </w:rPr>
  </w:style>
  <w:style w:type="paragraph" w:styleId="10">
    <w:name w:val="Document Map"/>
    <w:basedOn w:val="1"/>
    <w:autoRedefine/>
    <w:qFormat/>
    <w:uiPriority w:val="0"/>
    <w:pPr>
      <w:shd w:val="clear" w:color="auto" w:fill="000080"/>
    </w:pPr>
  </w:style>
  <w:style w:type="paragraph" w:styleId="11">
    <w:name w:val="annotation text"/>
    <w:basedOn w:val="1"/>
    <w:link w:val="43"/>
    <w:autoRedefine/>
    <w:qFormat/>
    <w:uiPriority w:val="0"/>
    <w:pPr>
      <w:jc w:val="left"/>
    </w:pPr>
    <w:rPr>
      <w:snapToGrid/>
      <w:kern w:val="2"/>
    </w:rPr>
  </w:style>
  <w:style w:type="paragraph" w:styleId="12">
    <w:name w:val="Body Text 3"/>
    <w:basedOn w:val="1"/>
    <w:autoRedefine/>
    <w:qFormat/>
    <w:uiPriority w:val="0"/>
    <w:pPr>
      <w:spacing w:after="120" w:line="480" w:lineRule="exact"/>
    </w:pPr>
    <w:rPr>
      <w:snapToGrid/>
      <w:kern w:val="2"/>
      <w:sz w:val="16"/>
    </w:rPr>
  </w:style>
  <w:style w:type="paragraph" w:styleId="13">
    <w:name w:val="Body Text"/>
    <w:basedOn w:val="1"/>
    <w:link w:val="137"/>
    <w:autoRedefine/>
    <w:qFormat/>
    <w:uiPriority w:val="0"/>
    <w:pPr>
      <w:spacing w:after="120"/>
    </w:pPr>
  </w:style>
  <w:style w:type="paragraph" w:styleId="14">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5">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6">
    <w:name w:val="toc 3"/>
    <w:basedOn w:val="1"/>
    <w:next w:val="1"/>
    <w:autoRedefine/>
    <w:semiHidden/>
    <w:qFormat/>
    <w:uiPriority w:val="0"/>
    <w:pPr>
      <w:ind w:left="840" w:leftChars="400"/>
    </w:p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11"/>
    <w:next w:val="11"/>
    <w:link w:val="48"/>
    <w:autoRedefine/>
    <w:qFormat/>
    <w:uiPriority w:val="0"/>
    <w:rPr>
      <w:b/>
      <w:bCs/>
    </w:rPr>
  </w:style>
  <w:style w:type="paragraph" w:styleId="29">
    <w:name w:val="Body Text First Indent"/>
    <w:basedOn w:val="13"/>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4"/>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2"/>
    <w:autoRedefine/>
    <w:qFormat/>
    <w:uiPriority w:val="99"/>
    <w:rPr>
      <w:rFonts w:ascii="宋体" w:hAnsi="Courier New"/>
      <w:snapToGrid/>
      <w:sz w:val="18"/>
    </w:rPr>
  </w:style>
  <w:style w:type="character" w:customStyle="1" w:styleId="42">
    <w:name w:val="正文缩进 字符"/>
    <w:link w:val="8"/>
    <w:autoRedefine/>
    <w:qFormat/>
    <w:uiPriority w:val="0"/>
    <w:rPr>
      <w:rFonts w:eastAsia="宋体"/>
      <w:kern w:val="2"/>
      <w:sz w:val="21"/>
      <w:lang w:val="en-US" w:eastAsia="zh-CN"/>
    </w:rPr>
  </w:style>
  <w:style w:type="character" w:customStyle="1" w:styleId="43">
    <w:name w:val="批注文字 字符"/>
    <w:link w:val="11"/>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8"/>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2"/>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4"/>
    <w:autoRedefine/>
    <w:qFormat/>
    <w:uiPriority w:val="9"/>
    <w:rPr>
      <w:b/>
      <w:snapToGrid w:val="0"/>
      <w:kern w:val="44"/>
      <w:sz w:val="28"/>
      <w:szCs w:val="28"/>
    </w:rPr>
  </w:style>
  <w:style w:type="character" w:customStyle="1" w:styleId="131">
    <w:name w:val="标题 2 字符"/>
    <w:basedOn w:val="34"/>
    <w:link w:val="5"/>
    <w:autoRedefine/>
    <w:qFormat/>
    <w:uiPriority w:val="9"/>
    <w:rPr>
      <w:rFonts w:ascii="宋体" w:hAnsi="宋体" w:cs="宋体"/>
      <w:b/>
      <w:snapToGrid w:val="0"/>
      <w:kern w:val="44"/>
      <w:sz w:val="24"/>
      <w:szCs w:val="24"/>
    </w:rPr>
  </w:style>
  <w:style w:type="character" w:customStyle="1" w:styleId="132">
    <w:name w:val="标题 3 字符"/>
    <w:basedOn w:val="34"/>
    <w:link w:val="6"/>
    <w:autoRedefine/>
    <w:qFormat/>
    <w:uiPriority w:val="9"/>
    <w:rPr>
      <w:rFonts w:ascii="宋体" w:hAnsi="宋体" w:cs="宋体"/>
      <w:b/>
      <w:snapToGrid w:val="0"/>
      <w:kern w:val="44"/>
      <w:sz w:val="24"/>
      <w:szCs w:val="24"/>
    </w:rPr>
  </w:style>
  <w:style w:type="character" w:customStyle="1" w:styleId="133">
    <w:name w:val="标题 4 字符"/>
    <w:basedOn w:val="34"/>
    <w:link w:val="7"/>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3"/>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3"/>
    <w:autoRedefine/>
    <w:qFormat/>
    <w:uiPriority w:val="0"/>
    <w:rPr>
      <w:rFonts w:ascii="宋体" w:hAnsi="宋体"/>
      <w:kern w:val="2"/>
      <w:sz w:val="24"/>
    </w:rPr>
  </w:style>
  <w:style w:type="paragraph" w:customStyle="1" w:styleId="150">
    <w:name w:val="正文文本首行缩进1"/>
    <w:basedOn w:val="13"/>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4"/>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9892</Words>
  <Characters>10259</Characters>
  <Lines>1</Lines>
  <Paragraphs>1</Paragraphs>
  <TotalTime>0</TotalTime>
  <ScaleCrop>false</ScaleCrop>
  <LinksUpToDate>false</LinksUpToDate>
  <CharactersWithSpaces>10693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2025-07-29T02:46:04Z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17D4760026AC42108E159B00B4701824_13</vt:lpwstr>
  </property>
  <property fmtid="{D5CDD505-2E9C-101B-9397-08002B2CF9AE}" pid="4" name="KSOTemplateDocerSaveRecord">
    <vt:lpwstr>eyJoZGlkIjoiNGNjMWNiZjE2MTg1MjE1NzMyOTVhMjFkZDA4Y2NkNjYiLCJ1c2VySWQiOiIxMjUyMTUyOTgyIn0=</vt:lpwstr>
  </property>
</Properties>
</file>