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993F">
      <w:pPr>
        <w:pageBreakBefore w:val="0"/>
        <w:widowControl/>
        <w:kinsoku/>
        <w:wordWrap/>
        <w:overflowPunct/>
        <w:topLinePunct w:val="0"/>
        <w:bidi w:val="0"/>
        <w:snapToGrid w:val="0"/>
        <w:spacing w:before="156" w:line="24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杭州市富阳区第一人民医院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职工年货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坚果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礼盒</w:t>
      </w:r>
    </w:p>
    <w:p w14:paraId="2CF5A28C">
      <w:pPr>
        <w:pageBreakBefore w:val="0"/>
        <w:widowControl/>
        <w:kinsoku/>
        <w:wordWrap/>
        <w:overflowPunct/>
        <w:topLinePunct w:val="0"/>
        <w:bidi w:val="0"/>
        <w:snapToGrid w:val="0"/>
        <w:spacing w:before="156" w:line="24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招标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评标办法</w:t>
      </w:r>
    </w:p>
    <w:p w14:paraId="0BD477AC">
      <w:pPr>
        <w:pageBreakBefore w:val="0"/>
        <w:kinsoku/>
        <w:wordWrap/>
        <w:overflowPunct/>
        <w:topLinePunct w:val="0"/>
        <w:bidi w:val="0"/>
        <w:spacing w:before="109" w:beforeLines="35"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根据《中华人民共和国政府采购法》等有关法律法规，遵循“公开、公平、公正”的原则，结合本项目的实际需求，制定本办法。</w:t>
      </w:r>
    </w:p>
    <w:p w14:paraId="375CBC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坚果券</w:t>
      </w:r>
      <w:r>
        <w:rPr>
          <w:rFonts w:hint="eastAsia" w:ascii="仿宋" w:hAnsi="仿宋" w:eastAsia="仿宋" w:cs="仿宋"/>
          <w:b/>
          <w:sz w:val="28"/>
          <w:szCs w:val="28"/>
        </w:rPr>
        <w:t>评分细则</w:t>
      </w:r>
    </w:p>
    <w:p w14:paraId="3B26B2B9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109" w:beforeLines="35"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投标人根据以下评分细则提供相关证明资料，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评标小组根据以下评分细则分别对投标人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提供的资料以及样品等内容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进行打分，按照得分高低进行排名，排名第一的为中标候选人：</w:t>
      </w:r>
    </w:p>
    <w:tbl>
      <w:tblPr>
        <w:tblStyle w:val="9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08"/>
        <w:gridCol w:w="5851"/>
        <w:gridCol w:w="790"/>
      </w:tblGrid>
      <w:tr w14:paraId="7908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00" w:type="dxa"/>
            <w:tcBorders>
              <w:top w:val="single" w:color="auto" w:sz="4" w:space="0"/>
            </w:tcBorders>
            <w:noWrap w:val="0"/>
            <w:vAlign w:val="center"/>
          </w:tcPr>
          <w:p w14:paraId="36410CA3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noWrap w:val="0"/>
            <w:vAlign w:val="center"/>
          </w:tcPr>
          <w:p w14:paraId="298129F5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评分项目</w:t>
            </w:r>
          </w:p>
        </w:tc>
        <w:tc>
          <w:tcPr>
            <w:tcW w:w="5851" w:type="dxa"/>
            <w:tcBorders>
              <w:top w:val="single" w:color="auto" w:sz="4" w:space="0"/>
            </w:tcBorders>
            <w:noWrap w:val="0"/>
            <w:vAlign w:val="center"/>
          </w:tcPr>
          <w:p w14:paraId="5EAD8ED3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评分内容</w:t>
            </w:r>
          </w:p>
        </w:tc>
        <w:tc>
          <w:tcPr>
            <w:tcW w:w="790" w:type="dxa"/>
            <w:tcBorders>
              <w:top w:val="single" w:color="auto" w:sz="4" w:space="0"/>
            </w:tcBorders>
            <w:noWrap w:val="0"/>
            <w:vAlign w:val="center"/>
          </w:tcPr>
          <w:p w14:paraId="17520602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5880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800" w:type="dxa"/>
            <w:noWrap w:val="0"/>
            <w:vAlign w:val="center"/>
          </w:tcPr>
          <w:p w14:paraId="598BB5FC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 w14:paraId="2DFBFB46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门店分布</w:t>
            </w:r>
          </w:p>
        </w:tc>
        <w:tc>
          <w:tcPr>
            <w:tcW w:w="5851" w:type="dxa"/>
            <w:noWrap w:val="0"/>
            <w:vAlign w:val="top"/>
          </w:tcPr>
          <w:p w14:paraId="166E652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before="120" w:beforeLines="50" w:after="120" w:afterLines="50"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富春街道区域有门店数量，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3家及以上得10分，2家得6分，1家得3分。（0-10分）</w:t>
            </w:r>
          </w:p>
        </w:tc>
        <w:tc>
          <w:tcPr>
            <w:tcW w:w="790" w:type="dxa"/>
            <w:noWrap w:val="0"/>
            <w:vAlign w:val="center"/>
          </w:tcPr>
          <w:p w14:paraId="32CA148A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 w14:paraId="27E6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00" w:type="dxa"/>
            <w:noWrap w:val="0"/>
            <w:vAlign w:val="center"/>
          </w:tcPr>
          <w:p w14:paraId="673446BA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8" w:type="dxa"/>
            <w:noWrap w:val="0"/>
            <w:vAlign w:val="center"/>
          </w:tcPr>
          <w:p w14:paraId="4AFB865A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商家业绩</w:t>
            </w:r>
          </w:p>
        </w:tc>
        <w:tc>
          <w:tcPr>
            <w:tcW w:w="5851" w:type="dxa"/>
            <w:noWrap w:val="0"/>
            <w:vAlign w:val="top"/>
          </w:tcPr>
          <w:p w14:paraId="106B8669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投标人自2021年1月1日以来【以合同签订时间为准】完成类似项目的业绩：每一项业绩得4分，最高得20分。（0-20分）</w:t>
            </w:r>
          </w:p>
          <w:p w14:paraId="691DABF0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（注：以上业绩须提供合同复印件并加盖公司公章）</w:t>
            </w:r>
          </w:p>
          <w:p w14:paraId="29A3FBD4">
            <w:pPr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（一个单位分年度多次签订的案例，计入1个案例；同一个项目，分两期或以上建设完成的，计入1个案例。）</w:t>
            </w:r>
          </w:p>
        </w:tc>
        <w:tc>
          <w:tcPr>
            <w:tcW w:w="790" w:type="dxa"/>
            <w:noWrap w:val="0"/>
            <w:vAlign w:val="center"/>
          </w:tcPr>
          <w:p w14:paraId="7885E780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 w14:paraId="11B1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00" w:type="dxa"/>
            <w:noWrap w:val="0"/>
            <w:vAlign w:val="center"/>
          </w:tcPr>
          <w:p w14:paraId="4A946A36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8" w:type="dxa"/>
            <w:noWrap w:val="0"/>
            <w:vAlign w:val="center"/>
          </w:tcPr>
          <w:p w14:paraId="3D04E16C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售后服务及保障</w:t>
            </w:r>
          </w:p>
        </w:tc>
        <w:tc>
          <w:tcPr>
            <w:tcW w:w="5851" w:type="dxa"/>
            <w:noWrap w:val="0"/>
            <w:vAlign w:val="center"/>
          </w:tcPr>
          <w:p w14:paraId="30FCDC5F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售后服务、服务质量保证措施及承诺，措施及承诺情况科学严谨、有效。由评委综合判定进行打分。（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0-30分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" w:type="dxa"/>
            <w:noWrap w:val="0"/>
            <w:vAlign w:val="center"/>
          </w:tcPr>
          <w:p w14:paraId="1D444337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 w14:paraId="2D67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00" w:type="dxa"/>
            <w:noWrap w:val="0"/>
            <w:vAlign w:val="center"/>
          </w:tcPr>
          <w:p w14:paraId="0994D72C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8" w:type="dxa"/>
            <w:noWrap w:val="0"/>
            <w:vAlign w:val="center"/>
          </w:tcPr>
          <w:p w14:paraId="3C4F1D3D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left="240" w:leftChars="57" w:hanging="120" w:hangingChars="5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样品品质情况</w:t>
            </w:r>
          </w:p>
        </w:tc>
        <w:tc>
          <w:tcPr>
            <w:tcW w:w="5851" w:type="dxa"/>
            <w:tcBorders>
              <w:top w:val="single" w:color="auto" w:sz="4" w:space="0"/>
            </w:tcBorders>
            <w:noWrap w:val="0"/>
            <w:vAlign w:val="top"/>
          </w:tcPr>
          <w:p w14:paraId="452B9747">
            <w:pPr>
              <w:pStyle w:val="1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评委根据投标人提供的坚果样品，根据品相、口感等综合因素对坚果品质进行打分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（0-40分）</w:t>
            </w:r>
          </w:p>
        </w:tc>
        <w:tc>
          <w:tcPr>
            <w:tcW w:w="790" w:type="dxa"/>
            <w:noWrap w:val="0"/>
            <w:vAlign w:val="center"/>
          </w:tcPr>
          <w:p w14:paraId="576686EA">
            <w:pPr>
              <w:pageBreakBefore w:val="0"/>
              <w:kinsoku/>
              <w:wordWrap/>
              <w:overflowPunct/>
              <w:topLinePunct w:val="0"/>
              <w:bidi w:val="0"/>
              <w:spacing w:before="156" w:line="360" w:lineRule="auto"/>
              <w:ind w:firstLine="240" w:firstLineChars="1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</w:tbl>
    <w:p w14:paraId="6AB1F97F">
      <w:pPr>
        <w:pageBreakBefore w:val="0"/>
        <w:kinsoku/>
        <w:wordWrap/>
        <w:overflowPunct/>
        <w:topLinePunct w:val="0"/>
        <w:bidi w:val="0"/>
        <w:spacing w:before="109" w:beforeLines="35"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投标人提供的资料弄虚作假的，报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上级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主管部门查处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，招标人有追究法律责任的权利。</w:t>
      </w:r>
    </w:p>
    <w:p w14:paraId="7E621586"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="109" w:beforeLines="35"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本院职工凭本次招标的坚果券领取商品时，必须提供与样品相一致的产品，有发现缺斤少两、以次充好等情况的医院有权利追究相关法律责任。</w:t>
      </w:r>
    </w:p>
    <w:p w14:paraId="36F55CCA"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坚果样品清单参考表格（或自拟表格）：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6"/>
        <w:gridCol w:w="1924"/>
        <w:gridCol w:w="1420"/>
        <w:gridCol w:w="1420"/>
        <w:gridCol w:w="1421"/>
        <w:gridCol w:w="1421"/>
      </w:tblGrid>
      <w:tr w14:paraId="5A21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6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 w14:paraId="36DE96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7F14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60774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65E1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净含量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3E24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9239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 w14:paraId="5A10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top"/>
          </w:tcPr>
          <w:p w14:paraId="5CD1EFE3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4" w:type="dxa"/>
            <w:vAlign w:val="top"/>
          </w:tcPr>
          <w:p w14:paraId="71ADB785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47467A61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03A05446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76567AA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231E0276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9F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top"/>
          </w:tcPr>
          <w:p w14:paraId="25F6644B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4" w:type="dxa"/>
            <w:vAlign w:val="top"/>
          </w:tcPr>
          <w:p w14:paraId="7A04FAE0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36AAE0D5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2B1F6C9A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D1003EA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5653EEF7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539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top"/>
          </w:tcPr>
          <w:p w14:paraId="6FF33E87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4" w:type="dxa"/>
            <w:vAlign w:val="top"/>
          </w:tcPr>
          <w:p w14:paraId="0353472C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735F31E8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78AECB75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5F2DAF9D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67196AC7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8A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top"/>
          </w:tcPr>
          <w:p w14:paraId="5BBE4F2C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…</w:t>
            </w:r>
          </w:p>
        </w:tc>
        <w:tc>
          <w:tcPr>
            <w:tcW w:w="1924" w:type="dxa"/>
            <w:vAlign w:val="top"/>
          </w:tcPr>
          <w:p w14:paraId="63896C2F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172C94D4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50E4FC79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E060864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 w14:paraId="43B0CD89">
            <w:pPr>
              <w:pStyle w:val="2"/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6BBD40F">
      <w:pPr>
        <w:pStyle w:val="2"/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552F">
    <w:pPr>
      <w:pStyle w:val="7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253E5">
    <w:pP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D910E"/>
    <w:multiLevelType w:val="singleLevel"/>
    <w:tmpl w:val="8B1D91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255C35"/>
    <w:multiLevelType w:val="singleLevel"/>
    <w:tmpl w:val="D3255C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ThlYTg5MThiMGU0ZmYwZjg1ZTZkMGJhMmI4ZWUifQ=="/>
  </w:docVars>
  <w:rsids>
    <w:rsidRoot w:val="00000000"/>
    <w:rsid w:val="0C89296C"/>
    <w:rsid w:val="13B30CB1"/>
    <w:rsid w:val="26B87E04"/>
    <w:rsid w:val="2B441A4C"/>
    <w:rsid w:val="2D48136A"/>
    <w:rsid w:val="366652B8"/>
    <w:rsid w:val="367A5B2C"/>
    <w:rsid w:val="4A957F52"/>
    <w:rsid w:val="53E53868"/>
    <w:rsid w:val="626A7FDB"/>
    <w:rsid w:val="6343302D"/>
    <w:rsid w:val="68F0088D"/>
    <w:rsid w:val="7DD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Lines="5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spacing w:beforeLines="0" w:after="260" w:line="413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customStyle="1" w:styleId="5">
    <w:name w:val="样式 标题 3 + 右侧:  0.49 字符"/>
    <w:basedOn w:val="4"/>
    <w:qFormat/>
    <w:uiPriority w:val="99"/>
    <w:pPr>
      <w:ind w:right="137" w:firstLine="138" w:firstLineChars="49"/>
    </w:pPr>
    <w:rPr>
      <w:rFonts w:cs="宋体"/>
      <w:szCs w:val="20"/>
    </w:rPr>
  </w:style>
  <w:style w:type="paragraph" w:styleId="6">
    <w:name w:val="Plain Text"/>
    <w:basedOn w:val="1"/>
    <w:next w:val="1"/>
    <w:unhideWhenUsed/>
    <w:qFormat/>
    <w:uiPriority w:val="0"/>
    <w:pPr>
      <w:spacing w:before="156" w:afterLines="50" w:line="400" w:lineRule="exact"/>
    </w:pPr>
    <w:rPr>
      <w:rFonts w:ascii="宋体" w:hAnsi="Courier New"/>
      <w:kern w:val="0"/>
      <w:sz w:val="24"/>
      <w:szCs w:val="24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autoRedefine/>
    <w:qFormat/>
    <w:uiPriority w:val="0"/>
    <w:pPr>
      <w:widowControl w:val="0"/>
      <w:spacing w:line="322" w:lineRule="exact"/>
      <w:jc w:val="both"/>
    </w:pPr>
    <w:rPr>
      <w:rFonts w:ascii="MingLiU" w:hAnsi="MingLiU" w:eastAsia="MingLiU" w:cs="MingLiU"/>
      <w:kern w:val="2"/>
      <w:sz w:val="19"/>
      <w:szCs w:val="19"/>
      <w:lang w:val="zh-TW" w:eastAsia="zh-TW" w:bidi="zh-TW"/>
    </w:rPr>
  </w:style>
  <w:style w:type="paragraph" w:customStyle="1" w:styleId="13">
    <w:name w:val="样式3"/>
    <w:basedOn w:val="6"/>
    <w:next w:val="1"/>
    <w:autoRedefine/>
    <w:qFormat/>
    <w:uiPriority w:val="0"/>
    <w:pPr>
      <w:tabs>
        <w:tab w:val="left" w:pos="2790"/>
        <w:tab w:val="left" w:pos="4230"/>
      </w:tabs>
      <w:spacing w:beforeLines="1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554</Characters>
  <Lines>0</Lines>
  <Paragraphs>0</Paragraphs>
  <TotalTime>6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2024-01-16T00:56:00Z</dcterms:created>
  <dc:creator>Administrator.USER-20210821NJ</dc:creator>
  <cp:lastModifiedBy>UU's Baba</cp:lastModifiedBy>
  <cp:lastPrinted>2024-01-16T02:34:00Z</cp:lastPrinted>
  <dcterms:modified xsi:type="dcterms:W3CDTF">2024-12-31T06:38:18Z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3832C6C5EF874468A7A6753C9867266D_12</vt:lpwstr>
  </property>
  <property fmtid="{D5CDD505-2E9C-101B-9397-08002B2CF9AE}" pid="4" name="KSOTemplateDocerSaveRecord">
    <vt:lpwstr>eyJoZGlkIjoiYjVlYThlYTg5MThiMGU0ZmYwZjg1ZTZkMGJhMmI4ZWUiLCJ1c2VySWQiOiIyNDYyMTQ4NzUifQ==</vt:lpwstr>
  </property>
</Properties>
</file>